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12"/>
      </w:tblGrid>
      <w:tr w:rsidR="00745E8C" w:rsidRPr="004E1958" w14:paraId="02D214FC" w14:textId="77777777" w:rsidTr="00745E8C">
        <w:tc>
          <w:tcPr>
            <w:tcW w:w="3828" w:type="dxa"/>
          </w:tcPr>
          <w:p w14:paraId="02D214F7" w14:textId="39A929F3" w:rsidR="00685F4F" w:rsidRPr="004E1958" w:rsidRDefault="00E01CF3" w:rsidP="00745E8C">
            <w:pPr>
              <w:ind w:firstLine="0"/>
              <w:jc w:val="center"/>
              <w:rPr>
                <w:rFonts w:cs="Times New Roman"/>
                <w:b/>
                <w:spacing w:val="-4"/>
                <w:sz w:val="27"/>
              </w:rPr>
            </w:pPr>
            <w:bookmarkStart w:id="0" w:name="_GoBack"/>
            <w:bookmarkEnd w:id="0"/>
            <w:r w:rsidRPr="004E1958">
              <w:rPr>
                <w:rFonts w:cs="Times New Roman"/>
                <w:b/>
                <w:spacing w:val="-4"/>
                <w:sz w:val="27"/>
              </w:rPr>
              <w:softHyphen/>
            </w:r>
            <w:r w:rsidRPr="004E1958">
              <w:rPr>
                <w:rFonts w:cs="Times New Roman"/>
                <w:b/>
                <w:spacing w:val="-4"/>
                <w:sz w:val="27"/>
              </w:rPr>
              <w:softHyphen/>
            </w:r>
            <w:r w:rsidRPr="004E1958">
              <w:rPr>
                <w:rFonts w:cs="Times New Roman"/>
                <w:b/>
                <w:spacing w:val="-4"/>
                <w:sz w:val="27"/>
              </w:rPr>
              <w:softHyphen/>
            </w:r>
            <w:r w:rsidRPr="004E1958">
              <w:rPr>
                <w:rFonts w:cs="Times New Roman"/>
                <w:b/>
                <w:spacing w:val="-4"/>
                <w:sz w:val="27"/>
              </w:rPr>
              <w:softHyphen/>
            </w:r>
            <w:r w:rsidR="00483E3D" w:rsidRPr="004E1958">
              <w:rPr>
                <w:rFonts w:cs="Times New Roman"/>
                <w:b/>
                <w:spacing w:val="-4"/>
                <w:sz w:val="27"/>
              </w:rPr>
              <w:t>THỦ TƯỚNG CHÍNH PHỦ</w:t>
            </w:r>
          </w:p>
          <w:p w14:paraId="02D214F8" w14:textId="77777777" w:rsidR="00745E8C" w:rsidRPr="004E1958" w:rsidRDefault="00745E8C" w:rsidP="00745E8C">
            <w:pPr>
              <w:ind w:firstLine="0"/>
              <w:jc w:val="center"/>
              <w:rPr>
                <w:rFonts w:cs="Times New Roman"/>
                <w:strike/>
                <w:vertAlign w:val="superscript"/>
              </w:rPr>
            </w:pPr>
            <w:r w:rsidRPr="004E1958">
              <w:rPr>
                <w:rFonts w:cs="Times New Roman"/>
                <w:strike/>
                <w:color w:val="FFFFFF" w:themeColor="background1"/>
                <w:vertAlign w:val="superscript"/>
              </w:rPr>
              <w:t>.</w:t>
            </w:r>
            <w:r w:rsidRPr="004E1958">
              <w:rPr>
                <w:rFonts w:cs="Times New Roman"/>
                <w:strike/>
                <w:vertAlign w:val="superscript"/>
              </w:rPr>
              <w:t xml:space="preserve">                       </w:t>
            </w:r>
            <w:r w:rsidRPr="004E1958">
              <w:rPr>
                <w:rFonts w:cs="Times New Roman"/>
                <w:strike/>
                <w:color w:val="FFFFFF" w:themeColor="background1"/>
                <w:vertAlign w:val="superscript"/>
              </w:rPr>
              <w:t>.</w:t>
            </w:r>
          </w:p>
        </w:tc>
        <w:tc>
          <w:tcPr>
            <w:tcW w:w="5812" w:type="dxa"/>
          </w:tcPr>
          <w:p w14:paraId="02D214F9" w14:textId="77777777" w:rsidR="00745E8C" w:rsidRPr="004E1958" w:rsidRDefault="00745E8C" w:rsidP="00745E8C">
            <w:pPr>
              <w:ind w:firstLine="0"/>
              <w:jc w:val="center"/>
              <w:rPr>
                <w:rFonts w:cs="Times New Roman"/>
                <w:b/>
                <w:spacing w:val="-4"/>
                <w:sz w:val="27"/>
              </w:rPr>
            </w:pPr>
            <w:r w:rsidRPr="004E1958">
              <w:rPr>
                <w:rFonts w:cs="Times New Roman"/>
                <w:b/>
                <w:spacing w:val="-4"/>
                <w:sz w:val="27"/>
              </w:rPr>
              <w:t>CỘNG HÒA XÃ HỘI CHỦ NGHĨA VIỆT NAM</w:t>
            </w:r>
          </w:p>
          <w:p w14:paraId="02D214FA" w14:textId="77777777" w:rsidR="00745E8C" w:rsidRPr="004E1958" w:rsidRDefault="00745E8C" w:rsidP="00745E8C">
            <w:pPr>
              <w:ind w:firstLine="0"/>
              <w:jc w:val="center"/>
              <w:rPr>
                <w:rFonts w:cs="Times New Roman"/>
                <w:b/>
              </w:rPr>
            </w:pPr>
            <w:r w:rsidRPr="004E1958">
              <w:rPr>
                <w:rFonts w:cs="Times New Roman"/>
                <w:b/>
              </w:rPr>
              <w:t>Độc lập - Tự do - Hạnh phúc</w:t>
            </w:r>
          </w:p>
          <w:p w14:paraId="02D214FB" w14:textId="77777777" w:rsidR="00745E8C" w:rsidRPr="004E1958" w:rsidRDefault="00745E8C" w:rsidP="00247E9B">
            <w:pPr>
              <w:ind w:firstLine="0"/>
              <w:jc w:val="center"/>
              <w:rPr>
                <w:rFonts w:cs="Times New Roman"/>
                <w:strike/>
                <w:vertAlign w:val="superscript"/>
              </w:rPr>
            </w:pPr>
            <w:r w:rsidRPr="004E1958">
              <w:rPr>
                <w:rFonts w:cs="Times New Roman"/>
                <w:strike/>
                <w:color w:val="FFFFFF" w:themeColor="background1"/>
                <w:vertAlign w:val="superscript"/>
              </w:rPr>
              <w:t>.</w:t>
            </w:r>
            <w:r w:rsidRPr="004E1958">
              <w:rPr>
                <w:rFonts w:cs="Times New Roman"/>
                <w:strike/>
                <w:vertAlign w:val="superscript"/>
              </w:rPr>
              <w:t xml:space="preserve">                                                                 </w:t>
            </w:r>
            <w:r w:rsidRPr="004E1958">
              <w:rPr>
                <w:rFonts w:cs="Times New Roman"/>
                <w:strike/>
                <w:color w:val="FFFFFF" w:themeColor="background1"/>
                <w:vertAlign w:val="superscript"/>
              </w:rPr>
              <w:t>.</w:t>
            </w:r>
          </w:p>
        </w:tc>
      </w:tr>
      <w:tr w:rsidR="00745E8C" w:rsidRPr="004E1958" w14:paraId="02D214FF" w14:textId="77777777" w:rsidTr="00745E8C">
        <w:tc>
          <w:tcPr>
            <w:tcW w:w="3828" w:type="dxa"/>
          </w:tcPr>
          <w:p w14:paraId="02D214FD" w14:textId="77777777" w:rsidR="00745E8C" w:rsidRPr="004E1958" w:rsidRDefault="00745E8C" w:rsidP="00483E3D">
            <w:pPr>
              <w:ind w:firstLine="0"/>
              <w:jc w:val="center"/>
            </w:pPr>
            <w:r w:rsidRPr="004E1958">
              <w:t xml:space="preserve">Số:      </w:t>
            </w:r>
            <w:r w:rsidR="00145BCA" w:rsidRPr="004E1958">
              <w:t xml:space="preserve">  </w:t>
            </w:r>
            <w:r w:rsidRPr="004E1958">
              <w:t xml:space="preserve">  </w:t>
            </w:r>
            <w:r w:rsidR="00483E3D" w:rsidRPr="004E1958">
              <w:t>/2019</w:t>
            </w:r>
            <w:r w:rsidRPr="004E1958">
              <w:t>/</w:t>
            </w:r>
            <w:r w:rsidR="00483E3D" w:rsidRPr="004E1958">
              <w:t>QĐ-TTg</w:t>
            </w:r>
          </w:p>
        </w:tc>
        <w:tc>
          <w:tcPr>
            <w:tcW w:w="5812" w:type="dxa"/>
          </w:tcPr>
          <w:p w14:paraId="02D214FE" w14:textId="77777777" w:rsidR="00745E8C" w:rsidRPr="004E1958" w:rsidRDefault="00745E8C" w:rsidP="004D11A8">
            <w:pPr>
              <w:ind w:firstLine="0"/>
              <w:jc w:val="center"/>
              <w:rPr>
                <w:i/>
              </w:rPr>
            </w:pPr>
            <w:r w:rsidRPr="004E1958">
              <w:rPr>
                <w:i/>
              </w:rPr>
              <w:t>Hà Nội, ngày    tháng</w:t>
            </w:r>
            <w:r w:rsidR="00145BCA" w:rsidRPr="004E1958">
              <w:rPr>
                <w:i/>
              </w:rPr>
              <w:t xml:space="preserve"> </w:t>
            </w:r>
            <w:r w:rsidR="004D11A8" w:rsidRPr="004E1958">
              <w:rPr>
                <w:i/>
              </w:rPr>
              <w:t xml:space="preserve">   </w:t>
            </w:r>
            <w:r w:rsidR="00145BCA" w:rsidRPr="004E1958">
              <w:rPr>
                <w:i/>
              </w:rPr>
              <w:t xml:space="preserve"> </w:t>
            </w:r>
            <w:r w:rsidRPr="004E1958">
              <w:rPr>
                <w:i/>
              </w:rPr>
              <w:t>năm 201</w:t>
            </w:r>
            <w:r w:rsidR="008532BF" w:rsidRPr="004E1958">
              <w:rPr>
                <w:i/>
              </w:rPr>
              <w:t>9</w:t>
            </w:r>
          </w:p>
        </w:tc>
      </w:tr>
    </w:tbl>
    <w:p w14:paraId="02D21500" w14:textId="77777777" w:rsidR="00745E8C" w:rsidRPr="004E1958" w:rsidRDefault="00483E3D">
      <w:pPr>
        <w:rPr>
          <w:b/>
          <w:i/>
          <w:u w:val="single"/>
        </w:rPr>
      </w:pPr>
      <w:r w:rsidRPr="004E1958">
        <w:rPr>
          <w:b/>
          <w:i/>
          <w:u w:val="single"/>
        </w:rPr>
        <w:t>DỰ THẢO</w:t>
      </w:r>
    </w:p>
    <w:p w14:paraId="02D21501" w14:textId="77777777" w:rsidR="00857B4A" w:rsidRPr="004E1958" w:rsidRDefault="00857B4A" w:rsidP="00483E3D">
      <w:pPr>
        <w:spacing w:before="0" w:after="0"/>
        <w:ind w:firstLine="0"/>
        <w:jc w:val="center"/>
        <w:rPr>
          <w:b/>
        </w:rPr>
      </w:pPr>
    </w:p>
    <w:p w14:paraId="02D21502" w14:textId="77777777" w:rsidR="00483E3D" w:rsidRPr="004E1958" w:rsidRDefault="00483E3D" w:rsidP="00483E3D">
      <w:pPr>
        <w:spacing w:before="0" w:after="0"/>
        <w:ind w:firstLine="0"/>
        <w:jc w:val="center"/>
        <w:rPr>
          <w:b/>
        </w:rPr>
      </w:pPr>
      <w:r w:rsidRPr="004E1958">
        <w:rPr>
          <w:b/>
        </w:rPr>
        <w:t>QUYẾT ĐỊNH</w:t>
      </w:r>
    </w:p>
    <w:p w14:paraId="2FE651CE" w14:textId="77777777" w:rsidR="004C5A14" w:rsidRPr="004E1958" w:rsidRDefault="004C5A14" w:rsidP="00483E3D">
      <w:pPr>
        <w:spacing w:before="0" w:after="0"/>
        <w:ind w:firstLine="0"/>
        <w:jc w:val="center"/>
        <w:rPr>
          <w:b/>
        </w:rPr>
      </w:pPr>
      <w:r w:rsidRPr="004E1958">
        <w:rPr>
          <w:b/>
        </w:rPr>
        <w:t>Ban hành</w:t>
      </w:r>
      <w:r w:rsidR="00483E3D" w:rsidRPr="004E1958">
        <w:rPr>
          <w:b/>
        </w:rPr>
        <w:t xml:space="preserve"> nguyên tắc, tiêu chí và định mức phân bổ </w:t>
      </w:r>
    </w:p>
    <w:p w14:paraId="02D21503" w14:textId="31DD2560" w:rsidR="00483E3D" w:rsidRPr="004E1958" w:rsidRDefault="00483E3D" w:rsidP="00483E3D">
      <w:pPr>
        <w:spacing w:before="0" w:after="0"/>
        <w:ind w:firstLine="0"/>
        <w:jc w:val="center"/>
        <w:rPr>
          <w:b/>
        </w:rPr>
      </w:pPr>
      <w:r w:rsidRPr="004E1958">
        <w:rPr>
          <w:b/>
        </w:rPr>
        <w:t xml:space="preserve">vốn </w:t>
      </w:r>
      <w:r w:rsidR="006E0CBA" w:rsidRPr="004E1958">
        <w:rPr>
          <w:b/>
        </w:rPr>
        <w:t>đầu tư công</w:t>
      </w:r>
      <w:r w:rsidR="006E0CBA" w:rsidRPr="004E1958">
        <w:rPr>
          <w:bCs/>
        </w:rPr>
        <w:t xml:space="preserve"> </w:t>
      </w:r>
      <w:r w:rsidRPr="004E1958">
        <w:rPr>
          <w:b/>
        </w:rPr>
        <w:t>nguồn ngân sách nhà nước giai đoạn 2021-2025</w:t>
      </w:r>
    </w:p>
    <w:p w14:paraId="02D21504" w14:textId="77777777" w:rsidR="00483E3D" w:rsidRPr="004E1958" w:rsidRDefault="00483E3D" w:rsidP="00483E3D">
      <w:pPr>
        <w:spacing w:before="0" w:after="0"/>
        <w:ind w:firstLine="0"/>
        <w:jc w:val="center"/>
        <w:rPr>
          <w:strike/>
          <w:vertAlign w:val="superscript"/>
        </w:rPr>
      </w:pPr>
      <w:r w:rsidRPr="004E1958">
        <w:rPr>
          <w:strike/>
          <w:vertAlign w:val="superscript"/>
        </w:rPr>
        <w:t>-                    -</w:t>
      </w:r>
    </w:p>
    <w:p w14:paraId="02D21505" w14:textId="098493D6" w:rsidR="00857B4A" w:rsidRPr="00DE691A" w:rsidRDefault="00E01CF3">
      <w:pPr>
        <w:rPr>
          <w:i/>
          <w:sz w:val="4"/>
          <w:szCs w:val="4"/>
        </w:rPr>
      </w:pPr>
      <w:r w:rsidRPr="004E1958">
        <w:rPr>
          <w:i/>
        </w:rPr>
        <w:softHyphen/>
      </w:r>
      <w:r w:rsidRPr="004E1958">
        <w:rPr>
          <w:i/>
        </w:rPr>
        <w:softHyphen/>
      </w:r>
    </w:p>
    <w:p w14:paraId="02D21506" w14:textId="5A774596" w:rsidR="00483E3D" w:rsidRPr="00DE691A" w:rsidRDefault="00483E3D">
      <w:pPr>
        <w:rPr>
          <w:i/>
          <w:spacing w:val="-6"/>
        </w:rPr>
      </w:pPr>
      <w:r w:rsidRPr="00DE691A">
        <w:rPr>
          <w:i/>
          <w:spacing w:val="-6"/>
        </w:rPr>
        <w:t>Căn cứ Luật Tổ chức Chính phủ</w:t>
      </w:r>
      <w:r w:rsidR="004C5A14" w:rsidRPr="00DE691A">
        <w:rPr>
          <w:i/>
          <w:spacing w:val="-6"/>
        </w:rPr>
        <w:t xml:space="preserve"> số 76/2015/QH13 ngày 19 tháng 6 năm 2015</w:t>
      </w:r>
      <w:r w:rsidRPr="00DE691A">
        <w:rPr>
          <w:i/>
          <w:spacing w:val="-6"/>
        </w:rPr>
        <w:t>;</w:t>
      </w:r>
    </w:p>
    <w:p w14:paraId="02D21507" w14:textId="13EE7F8E" w:rsidR="00E341D6" w:rsidRPr="004E1958" w:rsidRDefault="00E341D6">
      <w:pPr>
        <w:rPr>
          <w:i/>
        </w:rPr>
      </w:pPr>
      <w:r w:rsidRPr="004E1958">
        <w:rPr>
          <w:i/>
        </w:rPr>
        <w:t>Căn cứ Luật Đầu tư công</w:t>
      </w:r>
      <w:r w:rsidR="004C5A14" w:rsidRPr="004E1958">
        <w:rPr>
          <w:i/>
        </w:rPr>
        <w:t xml:space="preserve"> số 39/2019/QH 14 ngày 13 tháng 6 năm 2019</w:t>
      </w:r>
      <w:r w:rsidR="006E0CBA" w:rsidRPr="004E1958">
        <w:rPr>
          <w:i/>
        </w:rPr>
        <w:t>;</w:t>
      </w:r>
    </w:p>
    <w:p w14:paraId="02D21509" w14:textId="091ACF60" w:rsidR="00E341D6" w:rsidRPr="00DE691A" w:rsidRDefault="00E341D6">
      <w:pPr>
        <w:rPr>
          <w:i/>
          <w:spacing w:val="-8"/>
        </w:rPr>
      </w:pPr>
      <w:r w:rsidRPr="00DE691A">
        <w:rPr>
          <w:i/>
          <w:spacing w:val="-8"/>
        </w:rPr>
        <w:t>Căn cứ Luật Ngân sách nhà nước</w:t>
      </w:r>
      <w:r w:rsidR="004C5A14" w:rsidRPr="00DE691A">
        <w:rPr>
          <w:i/>
          <w:spacing w:val="-8"/>
        </w:rPr>
        <w:t xml:space="preserve"> số 83/2015/QH13 ngày 25 tháng 6 năm 2015</w:t>
      </w:r>
      <w:r w:rsidRPr="00DE691A">
        <w:rPr>
          <w:i/>
          <w:spacing w:val="-8"/>
        </w:rPr>
        <w:t>;</w:t>
      </w:r>
    </w:p>
    <w:p w14:paraId="02D2150A" w14:textId="77777777" w:rsidR="00E341D6" w:rsidRPr="004E1958" w:rsidRDefault="00E341D6">
      <w:pPr>
        <w:rPr>
          <w:i/>
        </w:rPr>
      </w:pPr>
      <w:r w:rsidRPr="004E1958">
        <w:rPr>
          <w:i/>
        </w:rPr>
        <w:t>Theo đề nghị của Bộ trưởng Bộ Kế hoạch và Đầu tư;</w:t>
      </w:r>
    </w:p>
    <w:p w14:paraId="02D2150B" w14:textId="3D78388E" w:rsidR="00E341D6" w:rsidRPr="004E1958" w:rsidRDefault="00E341D6">
      <w:pPr>
        <w:rPr>
          <w:i/>
        </w:rPr>
      </w:pPr>
      <w:r w:rsidRPr="004E1958">
        <w:rPr>
          <w:i/>
        </w:rPr>
        <w:t xml:space="preserve">Thủ tướng Chính phủ ban hành Quyết định về nguyên tắc, tiêu chí và định mức phân bổ vốn đầu tư </w:t>
      </w:r>
      <w:r w:rsidR="006E0CBA" w:rsidRPr="004E1958">
        <w:rPr>
          <w:i/>
        </w:rPr>
        <w:t>công</w:t>
      </w:r>
      <w:r w:rsidRPr="004E1958">
        <w:rPr>
          <w:i/>
        </w:rPr>
        <w:t xml:space="preserve"> nguồn ngân sách nhà nước giai đoạn 2021-2025.</w:t>
      </w:r>
    </w:p>
    <w:p w14:paraId="02D2150D" w14:textId="226D0362" w:rsidR="00E341D6" w:rsidRPr="004E1958" w:rsidRDefault="00E341D6">
      <w:bookmarkStart w:id="1" w:name="dieu_1"/>
      <w:r w:rsidRPr="004E1958">
        <w:rPr>
          <w:b/>
        </w:rPr>
        <w:t>Điều 1.</w:t>
      </w:r>
      <w:bookmarkEnd w:id="1"/>
      <w:r w:rsidRPr="004E1958">
        <w:t> </w:t>
      </w:r>
      <w:bookmarkStart w:id="2" w:name="dieu_1_name"/>
      <w:r w:rsidRPr="004E1958">
        <w:t xml:space="preserve">Ban hành kèm theo Quyết định này nguyên tắc, tiêu chí và định mức phân bổ vốn </w:t>
      </w:r>
      <w:r w:rsidR="006E0CBA" w:rsidRPr="004E1958">
        <w:t>đầu tư công</w:t>
      </w:r>
      <w:r w:rsidRPr="004E1958">
        <w:t xml:space="preserve"> nguồn ngân sách nhà nước giai đoạn 20</w:t>
      </w:r>
      <w:bookmarkEnd w:id="2"/>
      <w:r w:rsidRPr="004E1958">
        <w:t>21-2025.</w:t>
      </w:r>
    </w:p>
    <w:p w14:paraId="02D2150E" w14:textId="77777777" w:rsidR="005F0F5A" w:rsidRPr="004E1958" w:rsidRDefault="005F0F5A" w:rsidP="00DE691A">
      <w:pPr>
        <w:spacing w:before="60" w:after="0"/>
        <w:rPr>
          <w:b/>
        </w:rPr>
      </w:pPr>
      <w:bookmarkStart w:id="3" w:name="dieu_2"/>
      <w:r w:rsidRPr="004E1958">
        <w:rPr>
          <w:b/>
        </w:rPr>
        <w:t>Điều 2. Phạm vi và đối tượng áp dụng</w:t>
      </w:r>
      <w:bookmarkEnd w:id="3"/>
    </w:p>
    <w:p w14:paraId="02D2150F" w14:textId="48B09612" w:rsidR="005F0F5A" w:rsidRPr="004E1958" w:rsidRDefault="005F0F5A" w:rsidP="00DE691A">
      <w:pPr>
        <w:spacing w:before="60" w:after="0"/>
      </w:pPr>
      <w:r w:rsidRPr="004E1958">
        <w:t xml:space="preserve">1. Các nguyên tắc, tiêu chí và định mức phân bổ vốn </w:t>
      </w:r>
      <w:r w:rsidR="006E0CBA" w:rsidRPr="004E1958">
        <w:t>đầu tư công</w:t>
      </w:r>
      <w:r w:rsidRPr="004E1958">
        <w:t xml:space="preserve"> nguồn ngân sách nhà nước giai đoạn 2021-2025 là căn cứ để lập kế hoạch đầu tư </w:t>
      </w:r>
      <w:r w:rsidR="00B35E0D" w:rsidRPr="004E1958">
        <w:t xml:space="preserve">công </w:t>
      </w:r>
      <w:r w:rsidRPr="004E1958">
        <w:t>trung hạn và hằng năm nguồn ngân sách nhà nước giai đoạn 2021-2025 của cả nước, của các cấp, các ngành và đơn vị sử dụng vốn ngân sách nhà nước. Đồng thời, là căn cứ để quản lý, giám sát, thanh tra, kiểm tra</w:t>
      </w:r>
      <w:r w:rsidR="0001040B" w:rsidRPr="004E1958">
        <w:t>, kiểm toán</w:t>
      </w:r>
      <w:r w:rsidRPr="004E1958">
        <w:t xml:space="preserve"> việc thực hiện kế hoạch đầu tư </w:t>
      </w:r>
      <w:r w:rsidR="00B35E0D" w:rsidRPr="004E1958">
        <w:t xml:space="preserve">công </w:t>
      </w:r>
      <w:r w:rsidRPr="004E1958">
        <w:t>trung hạn và hằng năm.</w:t>
      </w:r>
    </w:p>
    <w:p w14:paraId="02D21510" w14:textId="77777777" w:rsidR="005F0F5A" w:rsidRPr="004E1958" w:rsidRDefault="005F0F5A" w:rsidP="00DE691A">
      <w:pPr>
        <w:spacing w:before="60" w:after="0"/>
      </w:pPr>
      <w:r w:rsidRPr="004E1958">
        <w:t>2. Đối tượng áp dụng:</w:t>
      </w:r>
    </w:p>
    <w:p w14:paraId="02D21511" w14:textId="509A1837" w:rsidR="005F0F5A" w:rsidRPr="004E1958" w:rsidRDefault="005F0F5A" w:rsidP="00DE691A">
      <w:pPr>
        <w:spacing w:before="60" w:after="0"/>
      </w:pPr>
      <w:r w:rsidRPr="004E1958">
        <w:t xml:space="preserve">a) Bộ, cơ quan </w:t>
      </w:r>
      <w:r w:rsidR="006E0CBA" w:rsidRPr="004E1958">
        <w:t>trung ương và địa phương theo quy định tại Khoản 4 Điều 4 Luật Đầu tư công.</w:t>
      </w:r>
    </w:p>
    <w:p w14:paraId="7694DA44" w14:textId="397A062F" w:rsidR="005D7871" w:rsidRPr="004E1958" w:rsidRDefault="005F0F5A" w:rsidP="00DE691A">
      <w:pPr>
        <w:spacing w:before="60" w:after="0"/>
      </w:pPr>
      <w:r w:rsidRPr="004E1958">
        <w:t xml:space="preserve">b) Cơ quan, tổ chức, cá nhân có liên quan đến lập kế hoạch đầu tư </w:t>
      </w:r>
      <w:r w:rsidR="00B35E0D" w:rsidRPr="004E1958">
        <w:t xml:space="preserve">công </w:t>
      </w:r>
      <w:r w:rsidRPr="004E1958">
        <w:t xml:space="preserve">trung hạn và hằng năm nguồn ngân sách nhà nước giai đoạn </w:t>
      </w:r>
      <w:r w:rsidR="00AD6B42" w:rsidRPr="004E1958">
        <w:t>2021-2025</w:t>
      </w:r>
      <w:r w:rsidRPr="004E1958">
        <w:t>.</w:t>
      </w:r>
    </w:p>
    <w:p w14:paraId="02D21513" w14:textId="77777777" w:rsidR="00AD6B42" w:rsidRPr="004E1958" w:rsidRDefault="00AD6B42" w:rsidP="00DE691A">
      <w:pPr>
        <w:spacing w:before="60" w:after="0"/>
        <w:rPr>
          <w:b/>
        </w:rPr>
      </w:pPr>
      <w:bookmarkStart w:id="4" w:name="dieu_3"/>
      <w:r w:rsidRPr="004E1958">
        <w:rPr>
          <w:b/>
        </w:rPr>
        <w:t>Điều 3. Tổ chức thực hiện</w:t>
      </w:r>
      <w:bookmarkEnd w:id="4"/>
    </w:p>
    <w:p w14:paraId="02D21514" w14:textId="77777777" w:rsidR="00AD6B42" w:rsidRPr="004E1958" w:rsidRDefault="00AD6B42" w:rsidP="00DE691A">
      <w:pPr>
        <w:spacing w:before="60" w:after="0"/>
      </w:pPr>
      <w:r w:rsidRPr="004E1958">
        <w:t>1. Bộ Kế hoạch và Đầu tư:</w:t>
      </w:r>
    </w:p>
    <w:p w14:paraId="02D21516" w14:textId="43605051" w:rsidR="00AD6B42" w:rsidRPr="004E1958" w:rsidRDefault="00AD6B42" w:rsidP="00DE691A">
      <w:pPr>
        <w:spacing w:before="60" w:after="0"/>
      </w:pPr>
      <w:r w:rsidRPr="004E1958">
        <w:lastRenderedPageBreak/>
        <w:t>a) </w:t>
      </w:r>
      <w:r w:rsidR="00B53B8C" w:rsidRPr="004E1958">
        <w:t>P</w:t>
      </w:r>
      <w:r w:rsidRPr="004E1958">
        <w:t xml:space="preserve">hối hợp với Bộ Tài chính xác định tổng vốn </w:t>
      </w:r>
      <w:r w:rsidR="006E0CBA" w:rsidRPr="004E1958">
        <w:t>đầu tư công</w:t>
      </w:r>
      <w:r w:rsidRPr="004E1958">
        <w:t xml:space="preserve"> nguồn ngân sách nhà nước trung hạn và hằng năm trong giai đoạn </w:t>
      </w:r>
      <w:r w:rsidR="00444A47" w:rsidRPr="004E1958">
        <w:t>2021-2025</w:t>
      </w:r>
      <w:r w:rsidR="00B53B8C" w:rsidRPr="004E1958">
        <w:t>, trình Chính phủ xem xét, quyết định</w:t>
      </w:r>
      <w:r w:rsidRPr="004E1958">
        <w:t>;</w:t>
      </w:r>
    </w:p>
    <w:p w14:paraId="39EA4AAE" w14:textId="0074D9FB" w:rsidR="00C20958" w:rsidRPr="004E1958" w:rsidRDefault="00B53B8C" w:rsidP="00DE691A">
      <w:pPr>
        <w:spacing w:before="60" w:after="0"/>
      </w:pPr>
      <w:r w:rsidRPr="004E1958">
        <w:t>b</w:t>
      </w:r>
      <w:r w:rsidR="00AD6B42" w:rsidRPr="004E1958">
        <w:t>) </w:t>
      </w:r>
      <w:r w:rsidRPr="004E1958">
        <w:t>Chủ trì, h</w:t>
      </w:r>
      <w:r w:rsidR="00AD6B42" w:rsidRPr="004E1958">
        <w:t xml:space="preserve">ướng dẫn Bộ, </w:t>
      </w:r>
      <w:r w:rsidR="00854212" w:rsidRPr="004E1958">
        <w:t>cơ quan</w:t>
      </w:r>
      <w:r w:rsidR="00AD6B42" w:rsidRPr="004E1958">
        <w:t xml:space="preserve"> trung ương và địa phương xây dựng phương án phân bổ kế hoạch vốn </w:t>
      </w:r>
      <w:r w:rsidR="006E0CBA" w:rsidRPr="004E1958">
        <w:t>đầu tư công</w:t>
      </w:r>
      <w:r w:rsidR="00AD6B42" w:rsidRPr="004E1958">
        <w:t xml:space="preserve"> nguồn ngân sách nhà nước trung hạn và hằng năm trong giai đoạn </w:t>
      </w:r>
      <w:r w:rsidR="00854212" w:rsidRPr="004E1958">
        <w:t>2021-2025</w:t>
      </w:r>
      <w:r w:rsidR="00AD6B42" w:rsidRPr="004E1958">
        <w:t xml:space="preserve"> của các Bộ, </w:t>
      </w:r>
      <w:r w:rsidR="00854212" w:rsidRPr="004E1958">
        <w:t>cơ quan</w:t>
      </w:r>
      <w:r w:rsidR="00AD6B42" w:rsidRPr="004E1958">
        <w:t xml:space="preserve"> trung ương và địa phương theo đúng các nguyên tắc, tiêu chí và định mức quy định tại Quyết định này.</w:t>
      </w:r>
    </w:p>
    <w:p w14:paraId="02D21518" w14:textId="77777777" w:rsidR="00F617F8" w:rsidRPr="004E1958" w:rsidRDefault="00F617F8" w:rsidP="00DE691A">
      <w:pPr>
        <w:spacing w:before="60" w:after="0"/>
      </w:pPr>
      <w:r w:rsidRPr="004E1958">
        <w:t>2. Bộ Tài chính:</w:t>
      </w:r>
    </w:p>
    <w:p w14:paraId="02D21519" w14:textId="35CFE5E1" w:rsidR="001C70ED" w:rsidRPr="004E1958" w:rsidRDefault="00F617F8" w:rsidP="00DE691A">
      <w:pPr>
        <w:spacing w:before="60" w:after="0"/>
      </w:pPr>
      <w:r w:rsidRPr="004E1958">
        <w:t xml:space="preserve">a) Phối hợp với Bộ Kế hoạch và Đầu tư </w:t>
      </w:r>
      <w:r w:rsidR="004C03B5" w:rsidRPr="004E1958">
        <w:t xml:space="preserve">xác định tổng vốn </w:t>
      </w:r>
      <w:r w:rsidR="006E0CBA" w:rsidRPr="004E1958">
        <w:t>đầu tư công</w:t>
      </w:r>
      <w:r w:rsidR="004C03B5" w:rsidRPr="004E1958">
        <w:t xml:space="preserve"> nguồn ngân sách nhà nước trung hạn và hằng năm trong giai đoạn 2021-2025</w:t>
      </w:r>
      <w:r w:rsidR="001C70ED" w:rsidRPr="004E1958">
        <w:t xml:space="preserve"> và phương án cân đối vốn </w:t>
      </w:r>
      <w:r w:rsidR="006E0CBA" w:rsidRPr="004E1958">
        <w:t>đầu tư công</w:t>
      </w:r>
      <w:r w:rsidR="001C70ED" w:rsidRPr="004E1958">
        <w:t xml:space="preserve"> nguồn ngân sách địa phương của các tỉnh, thành phố trực thuộc Trung ương </w:t>
      </w:r>
      <w:r w:rsidR="00D41F62" w:rsidRPr="004E1958">
        <w:t xml:space="preserve">trung hạn và hằng năm </w:t>
      </w:r>
      <w:r w:rsidR="001C70ED" w:rsidRPr="004E1958">
        <w:t>trong giai đoạn 2021-2025</w:t>
      </w:r>
      <w:r w:rsidR="00B53B8C" w:rsidRPr="004E1958">
        <w:t>, trình Chính phủ xem xét, quyết định.</w:t>
      </w:r>
    </w:p>
    <w:p w14:paraId="02D2151A" w14:textId="4D35900E" w:rsidR="00F617F8" w:rsidRPr="004E1958" w:rsidRDefault="004C03B5" w:rsidP="00DE691A">
      <w:pPr>
        <w:spacing w:before="60" w:after="0"/>
      </w:pPr>
      <w:r w:rsidRPr="004E1958">
        <w:t xml:space="preserve">b) Chịu trách nhiệm xây dựng và </w:t>
      </w:r>
      <w:r w:rsidR="001C70ED" w:rsidRPr="004E1958">
        <w:t xml:space="preserve">tổ chức </w:t>
      </w:r>
      <w:r w:rsidRPr="004E1958">
        <w:t xml:space="preserve">thực hiện kế hoạch tài chính trung hạn và hằng năm đảm bảo đủ vốn </w:t>
      </w:r>
      <w:r w:rsidR="006E0CBA" w:rsidRPr="004E1958">
        <w:t>đầu tư công</w:t>
      </w:r>
      <w:r w:rsidRPr="004E1958">
        <w:t xml:space="preserve"> nguồn ngân sách nhà nước để thực hiện kế hoạch đầu tư công trung hạn và hằng năm theo </w:t>
      </w:r>
      <w:r w:rsidR="00F617F8" w:rsidRPr="004E1958">
        <w:t>các nguyên tắc, tiêu chí và định mức quy định tại Quyết định này;</w:t>
      </w:r>
    </w:p>
    <w:p w14:paraId="02D2151B" w14:textId="44AE4FD3" w:rsidR="00F617F8" w:rsidRPr="004E1958" w:rsidRDefault="00F617F8" w:rsidP="00DE691A">
      <w:pPr>
        <w:spacing w:before="60" w:after="0"/>
      </w:pPr>
      <w:r w:rsidRPr="004E1958">
        <w:t xml:space="preserve">c) Cung cấp cho Bộ Kế hoạch và Đầu tư các thông tin số liệu về thu, chi ngân sách nhà nước của cả nước và từng tỉnh, thành phố trực thuộc trung ương phục vụ cho việc xây dựng các nguyên tắc, tiêu chí phân bổ kế hoạch vốn </w:t>
      </w:r>
      <w:r w:rsidR="006E0CBA" w:rsidRPr="004E1958">
        <w:t>đầu tư công</w:t>
      </w:r>
      <w:r w:rsidRPr="004E1958">
        <w:t xml:space="preserve"> nguồn ngân sách nhà nước.</w:t>
      </w:r>
    </w:p>
    <w:p w14:paraId="02D2151C" w14:textId="4A5FE7B8" w:rsidR="00551A07" w:rsidRPr="004E1958" w:rsidRDefault="00551A07" w:rsidP="00DE691A">
      <w:pPr>
        <w:spacing w:before="60" w:after="0"/>
      </w:pPr>
      <w:r w:rsidRPr="004E1958">
        <w:t>3. Bộ, cơ quan trung ương:</w:t>
      </w:r>
    </w:p>
    <w:p w14:paraId="02D2151D" w14:textId="2A4025A5" w:rsidR="00551A07" w:rsidRPr="004E1958" w:rsidRDefault="00551A07" w:rsidP="00DE691A">
      <w:pPr>
        <w:spacing w:before="60" w:after="0"/>
      </w:pPr>
      <w:r w:rsidRPr="004E1958">
        <w:t>a) Lập kế hoạch </w:t>
      </w:r>
      <w:r w:rsidR="006E0CBA" w:rsidRPr="004E1958">
        <w:t>đầu tư công</w:t>
      </w:r>
      <w:r w:rsidRPr="004E1958">
        <w:t xml:space="preserve"> nguồn ngân sách </w:t>
      </w:r>
      <w:r w:rsidR="00B53B8C" w:rsidRPr="004E1958">
        <w:t>trung ương</w:t>
      </w:r>
      <w:r w:rsidRPr="004E1958">
        <w:t xml:space="preserve"> trung hạn và hàng năm trong giai đoạn </w:t>
      </w:r>
      <w:r w:rsidR="00D41F62" w:rsidRPr="004E1958">
        <w:t>2021-2025</w:t>
      </w:r>
      <w:r w:rsidRPr="004E1958">
        <w:t xml:space="preserve"> theo đúng các nguyên tắc, tiêu chí và định mức quy định tại Quyết định này;</w:t>
      </w:r>
    </w:p>
    <w:p w14:paraId="02D2151E" w14:textId="768C9D2E" w:rsidR="00551A07" w:rsidRPr="004E1958" w:rsidRDefault="00551A07" w:rsidP="00DE691A">
      <w:pPr>
        <w:spacing w:before="60" w:after="0"/>
      </w:pPr>
      <w:r w:rsidRPr="004E1958">
        <w:t>b) Chịu trách nhiệm trước Thủ tướng Chính phủ và các cơ quan thanh tra, kiểm tra, kiểm toán về tính chính xác các thông tin, số liệu và mức vốn phân b</w:t>
      </w:r>
      <w:r w:rsidR="00D41F62" w:rsidRPr="004E1958">
        <w:t>ổ</w:t>
      </w:r>
      <w:r w:rsidRPr="004E1958">
        <w:t xml:space="preserve"> cho các dự án trong kế hoạch </w:t>
      </w:r>
      <w:r w:rsidR="006E0CBA" w:rsidRPr="004E1958">
        <w:t>đầu tư công</w:t>
      </w:r>
      <w:r w:rsidRPr="004E1958">
        <w:t xml:space="preserve"> nguồn ngân sách </w:t>
      </w:r>
      <w:r w:rsidR="0001040B" w:rsidRPr="004E1958">
        <w:t>trung ương</w:t>
      </w:r>
      <w:r w:rsidRPr="004E1958">
        <w:t xml:space="preserve"> trung hạn và hằng năm của Bộ, </w:t>
      </w:r>
      <w:r w:rsidR="00D41F62" w:rsidRPr="004E1958">
        <w:t>cơ quan</w:t>
      </w:r>
      <w:r w:rsidRPr="004E1958">
        <w:t xml:space="preserve"> trung ương quản lý;</w:t>
      </w:r>
    </w:p>
    <w:p w14:paraId="02D2151F" w14:textId="5A3CF60E" w:rsidR="00551A07" w:rsidRPr="004E1958" w:rsidRDefault="00551A07" w:rsidP="00DE691A">
      <w:pPr>
        <w:spacing w:before="60" w:after="0"/>
      </w:pPr>
      <w:r w:rsidRPr="004E1958">
        <w:t xml:space="preserve">c) Cung cấp cho Bộ Kế hoạch và Đầu tư các thông tin, số liệu thuộc ngành, lĩnh vực phụ trách phục vụ cho việc xây dựng các nguyên tắc, tiêu chí và định mức phân bổ kế hoạch vốn </w:t>
      </w:r>
      <w:r w:rsidR="006E0CBA" w:rsidRPr="004E1958">
        <w:t>đầu tư công</w:t>
      </w:r>
      <w:r w:rsidRPr="004E1958">
        <w:t xml:space="preserve"> nguồn ngân sách nhà nước.</w:t>
      </w:r>
    </w:p>
    <w:p w14:paraId="02D21520" w14:textId="7E064D42" w:rsidR="008E3795" w:rsidRPr="004E1958" w:rsidRDefault="008E3795" w:rsidP="00DE691A">
      <w:pPr>
        <w:spacing w:before="60" w:after="0"/>
      </w:pPr>
      <w:r w:rsidRPr="004E1958">
        <w:t>4. Ủy ban nhân dân c</w:t>
      </w:r>
      <w:r w:rsidR="0001040B" w:rsidRPr="004E1958">
        <w:t>ấp</w:t>
      </w:r>
      <w:r w:rsidRPr="004E1958">
        <w:t xml:space="preserve"> tỉnh:</w:t>
      </w:r>
    </w:p>
    <w:p w14:paraId="02D21521" w14:textId="309AB36E" w:rsidR="008E3795" w:rsidRPr="004E1958" w:rsidRDefault="008E3795" w:rsidP="00DE691A">
      <w:pPr>
        <w:spacing w:before="60" w:after="0"/>
      </w:pPr>
      <w:r w:rsidRPr="004E1958">
        <w:t xml:space="preserve">a) Căn cứ các nguyên tắc, tiêu chí, định mức phân bổ vốn </w:t>
      </w:r>
      <w:r w:rsidR="006E0CBA" w:rsidRPr="004E1958">
        <w:t>đầu tư công</w:t>
      </w:r>
      <w:r w:rsidRPr="004E1958">
        <w:t xml:space="preserve"> </w:t>
      </w:r>
      <w:r w:rsidR="0001040B" w:rsidRPr="004E1958">
        <w:t xml:space="preserve">nguồn ngân sách nhà nước </w:t>
      </w:r>
      <w:r w:rsidRPr="004E1958">
        <w:t xml:space="preserve">kèm theo Quyết định này, khả năng tài chính và đặc điểm </w:t>
      </w:r>
      <w:r w:rsidRPr="004E1958">
        <w:lastRenderedPageBreak/>
        <w:t xml:space="preserve">tình hình của địa phương, xây dựng các nguyên tắc, tiêu chí và định mức phân bổ vốn </w:t>
      </w:r>
      <w:r w:rsidR="006E0CBA" w:rsidRPr="004E1958">
        <w:t>đầu tư công</w:t>
      </w:r>
      <w:r w:rsidRPr="004E1958">
        <w:t xml:space="preserve"> nguồn ngân sách nhà nước cho các ngành, các cấp của địa phương báo cáo Hội đồng nhân dân </w:t>
      </w:r>
      <w:r w:rsidR="0001040B" w:rsidRPr="004E1958">
        <w:t xml:space="preserve">cấp </w:t>
      </w:r>
      <w:r w:rsidRPr="004E1958">
        <w:t>tỉnh quyết định;</w:t>
      </w:r>
    </w:p>
    <w:p w14:paraId="02D21522" w14:textId="39E251A3" w:rsidR="008E3795" w:rsidRPr="004E1958" w:rsidRDefault="008E3795" w:rsidP="00DE691A">
      <w:pPr>
        <w:spacing w:before="60" w:after="0"/>
      </w:pPr>
      <w:r w:rsidRPr="004E1958">
        <w:t xml:space="preserve">b) Lập kế hoạch vốn </w:t>
      </w:r>
      <w:r w:rsidR="006E0CBA" w:rsidRPr="004E1958">
        <w:t>đầu tư công</w:t>
      </w:r>
      <w:r w:rsidRPr="004E1958">
        <w:t xml:space="preserve"> nguồn ngân sách nhà nước trung hạn và hằng năm giai đoạn 2021-2025 theo đúng các nguyên tắc, tiêu chí và định mức quy định tại Quyết định này;</w:t>
      </w:r>
    </w:p>
    <w:p w14:paraId="02D21523" w14:textId="2E4D0119" w:rsidR="008E3795" w:rsidRPr="004E1958" w:rsidRDefault="008E3795" w:rsidP="00DE691A">
      <w:pPr>
        <w:spacing w:before="60" w:after="0"/>
      </w:pPr>
      <w:r w:rsidRPr="004E1958">
        <w:t xml:space="preserve">c) Chịu trách nhiệm trước Thủ tướng Chính phủ và các cơ quan thanh tra, kiểm tra, kiểm toán về tính chính xác các thông tin, số liệu và mức vốn phân bổ cho các dự án trong kế hoạch </w:t>
      </w:r>
      <w:r w:rsidR="006E0CBA" w:rsidRPr="004E1958">
        <w:t>đầu tư công</w:t>
      </w:r>
      <w:r w:rsidRPr="004E1958">
        <w:t xml:space="preserve"> nguồn ngân sách nhà nước trung hạn và hằng năm của tỉnh, thành phố.</w:t>
      </w:r>
    </w:p>
    <w:p w14:paraId="02D21524" w14:textId="77777777" w:rsidR="0090325B" w:rsidRPr="004E1958" w:rsidRDefault="0090325B" w:rsidP="00DE691A">
      <w:pPr>
        <w:spacing w:before="60" w:after="0"/>
        <w:rPr>
          <w:b/>
        </w:rPr>
      </w:pPr>
      <w:bookmarkStart w:id="5" w:name="dieu_4"/>
      <w:r w:rsidRPr="004E1958">
        <w:rPr>
          <w:b/>
        </w:rPr>
        <w:t>Điều 4. Hiệu lực thi hành</w:t>
      </w:r>
      <w:bookmarkEnd w:id="5"/>
    </w:p>
    <w:p w14:paraId="02D21525" w14:textId="0EA5D4A4" w:rsidR="0090325B" w:rsidRPr="004E1958" w:rsidRDefault="0090325B" w:rsidP="00DE691A">
      <w:pPr>
        <w:spacing w:before="60" w:after="0"/>
      </w:pPr>
      <w:r w:rsidRPr="004E1958">
        <w:t xml:space="preserve">Quyết định này có hiệu lực thi hành kể từ </w:t>
      </w:r>
      <w:r w:rsidR="0001040B" w:rsidRPr="004E1958">
        <w:t>01 tháng 01 năm 2020</w:t>
      </w:r>
      <w:r w:rsidRPr="004E1958">
        <w:t xml:space="preserve"> và áp dụng cho các năm ngân sách giai đoạn 2021-2025.</w:t>
      </w:r>
    </w:p>
    <w:p w14:paraId="02D21526" w14:textId="77777777" w:rsidR="0090325B" w:rsidRPr="004E1958" w:rsidRDefault="0090325B" w:rsidP="00DE691A">
      <w:pPr>
        <w:spacing w:before="60" w:after="0"/>
        <w:rPr>
          <w:b/>
        </w:rPr>
      </w:pPr>
      <w:bookmarkStart w:id="6" w:name="dieu_5"/>
      <w:r w:rsidRPr="004E1958">
        <w:rPr>
          <w:b/>
        </w:rPr>
        <w:t>Điều 5. Trách nhiệm thi hành</w:t>
      </w:r>
      <w:bookmarkEnd w:id="6"/>
    </w:p>
    <w:p w14:paraId="02D21527" w14:textId="77777777" w:rsidR="0090325B" w:rsidRPr="004E1958" w:rsidRDefault="0090325B" w:rsidP="00DE691A">
      <w:pPr>
        <w:spacing w:before="60" w:after="0"/>
      </w:pPr>
      <w:r w:rsidRPr="004E1958">
        <w:t>1. Bộ trưởng Bộ Kế hoạch và Đầu tư có trách nhiệm chủ trì, hướng dẫn triển khai, theo dõi, đôn đốc Bộ, cơ quan trung ương và địa phương thực hiện Quyết định này.</w:t>
      </w:r>
    </w:p>
    <w:p w14:paraId="02D21528" w14:textId="327B578F" w:rsidR="0090325B" w:rsidRDefault="0090325B" w:rsidP="0025549A">
      <w:pPr>
        <w:spacing w:before="60" w:after="0"/>
      </w:pPr>
      <w:r w:rsidRPr="004E1958">
        <w:t>2. Các Bộ trưởng, Thủ trưởng cơ quan ngang Bộ, Thủ trưởng cơ quan thuộc Chính phủ và các cơ quan khác ở trung ương, Chủ tịch Ủy ban nhân dân tỉnh, thành phố trực thuộc trung ương và Thủ trưởng các cơ quan, đơn vị sử dụng vốn ngân sách nhà nước giai đoạn 2021-2025 chịu trách nhiệm thi hành Quyết định này./</w:t>
      </w:r>
      <w:r w:rsidR="0025549A">
        <w:t>.</w:t>
      </w:r>
    </w:p>
    <w:p w14:paraId="40DACBC9" w14:textId="77777777" w:rsidR="0025549A" w:rsidRPr="00DE691A" w:rsidRDefault="0025549A" w:rsidP="00DE691A">
      <w:pPr>
        <w:spacing w:before="60" w:after="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6"/>
        <w:gridCol w:w="3716"/>
      </w:tblGrid>
      <w:tr w:rsidR="00901CB7" w:rsidRPr="004E1958" w14:paraId="02D21545" w14:textId="77777777" w:rsidTr="00571ACA">
        <w:tc>
          <w:tcPr>
            <w:tcW w:w="5495" w:type="dxa"/>
          </w:tcPr>
          <w:p w14:paraId="02D21529" w14:textId="77777777" w:rsidR="00901CB7" w:rsidRPr="004E1958" w:rsidRDefault="00CF01AB">
            <w:pPr>
              <w:ind w:firstLine="0"/>
              <w:rPr>
                <w:b/>
                <w:i/>
                <w:sz w:val="24"/>
              </w:rPr>
            </w:pPr>
            <w:r w:rsidRPr="004E1958">
              <w:rPr>
                <w:b/>
                <w:i/>
                <w:sz w:val="24"/>
              </w:rPr>
              <w:t>Nơi nhận:</w:t>
            </w:r>
          </w:p>
          <w:p w14:paraId="02D2152A" w14:textId="77777777" w:rsidR="00CF01AB" w:rsidRPr="004E1958" w:rsidRDefault="00CF01AB">
            <w:pPr>
              <w:ind w:firstLine="0"/>
              <w:rPr>
                <w:sz w:val="22"/>
              </w:rPr>
            </w:pPr>
            <w:r w:rsidRPr="004E1958">
              <w:rPr>
                <w:sz w:val="22"/>
              </w:rPr>
              <w:t xml:space="preserve">- </w:t>
            </w:r>
            <w:r w:rsidR="00571ACA" w:rsidRPr="004E1958">
              <w:rPr>
                <w:sz w:val="22"/>
              </w:rPr>
              <w:t>Ban Bí thư Trung ương Đảng</w:t>
            </w:r>
            <w:r w:rsidR="008B2DE2" w:rsidRPr="004E1958">
              <w:rPr>
                <w:sz w:val="22"/>
              </w:rPr>
              <w:t>;</w:t>
            </w:r>
          </w:p>
          <w:p w14:paraId="02D2152B" w14:textId="77777777" w:rsidR="004D11A8" w:rsidRPr="004E1958" w:rsidRDefault="008B2DE2" w:rsidP="004D11A8">
            <w:pPr>
              <w:ind w:firstLine="0"/>
              <w:rPr>
                <w:sz w:val="22"/>
              </w:rPr>
            </w:pPr>
            <w:r w:rsidRPr="004E1958">
              <w:rPr>
                <w:sz w:val="22"/>
              </w:rPr>
              <w:t xml:space="preserve">- </w:t>
            </w:r>
            <w:r w:rsidR="00571ACA" w:rsidRPr="004E1958">
              <w:rPr>
                <w:sz w:val="22"/>
              </w:rPr>
              <w:t>Thủ tướng, các Phó Thủ tướng Chính phủ;</w:t>
            </w:r>
          </w:p>
          <w:p w14:paraId="02D2152C" w14:textId="77777777" w:rsidR="00571ACA" w:rsidRPr="004E1958" w:rsidRDefault="00571ACA" w:rsidP="004D11A8">
            <w:pPr>
              <w:ind w:firstLine="0"/>
              <w:rPr>
                <w:sz w:val="22"/>
              </w:rPr>
            </w:pPr>
            <w:r w:rsidRPr="004E1958">
              <w:rPr>
                <w:sz w:val="22"/>
              </w:rPr>
              <w:t>- Các Bộ, cơ quan ngang Bộ, cơ quan thuộc Chính phủ;</w:t>
            </w:r>
          </w:p>
          <w:p w14:paraId="02D2152D" w14:textId="77777777" w:rsidR="00571ACA" w:rsidRPr="004E1958" w:rsidRDefault="00571ACA" w:rsidP="004D11A8">
            <w:pPr>
              <w:ind w:firstLine="0"/>
              <w:rPr>
                <w:sz w:val="22"/>
              </w:rPr>
            </w:pPr>
            <w:r w:rsidRPr="004E1958">
              <w:rPr>
                <w:sz w:val="22"/>
              </w:rPr>
              <w:t>- HĐND, UBND các tỉnh, thành phố trực thuộc trung ương;</w:t>
            </w:r>
          </w:p>
          <w:p w14:paraId="02D2152E" w14:textId="77777777" w:rsidR="00571ACA" w:rsidRPr="004E1958" w:rsidRDefault="00571ACA" w:rsidP="004D11A8">
            <w:pPr>
              <w:ind w:firstLine="0"/>
              <w:rPr>
                <w:sz w:val="22"/>
              </w:rPr>
            </w:pPr>
            <w:r w:rsidRPr="004E1958">
              <w:rPr>
                <w:sz w:val="22"/>
              </w:rPr>
              <w:t>- Văn phòng Trung ương và các Ban của Đảng;</w:t>
            </w:r>
          </w:p>
          <w:p w14:paraId="02D2152F" w14:textId="77777777" w:rsidR="00571ACA" w:rsidRPr="004E1958" w:rsidRDefault="00571ACA" w:rsidP="004D11A8">
            <w:pPr>
              <w:ind w:firstLine="0"/>
              <w:rPr>
                <w:sz w:val="22"/>
              </w:rPr>
            </w:pPr>
            <w:r w:rsidRPr="004E1958">
              <w:rPr>
                <w:sz w:val="22"/>
              </w:rPr>
              <w:t>- Văn phòng Tổng Bí thư;</w:t>
            </w:r>
          </w:p>
          <w:p w14:paraId="02D21530" w14:textId="77777777" w:rsidR="00571ACA" w:rsidRPr="004E1958" w:rsidRDefault="00571ACA" w:rsidP="004D11A8">
            <w:pPr>
              <w:ind w:firstLine="0"/>
              <w:rPr>
                <w:sz w:val="22"/>
              </w:rPr>
            </w:pPr>
            <w:r w:rsidRPr="004E1958">
              <w:rPr>
                <w:sz w:val="22"/>
              </w:rPr>
              <w:t>- Văn phòng Chủ tịch nước;</w:t>
            </w:r>
          </w:p>
          <w:p w14:paraId="02D21531" w14:textId="77777777" w:rsidR="00571ACA" w:rsidRPr="004E1958" w:rsidRDefault="00571ACA" w:rsidP="004D11A8">
            <w:pPr>
              <w:ind w:firstLine="0"/>
              <w:rPr>
                <w:sz w:val="22"/>
              </w:rPr>
            </w:pPr>
            <w:r w:rsidRPr="004E1958">
              <w:rPr>
                <w:sz w:val="22"/>
              </w:rPr>
              <w:t>- Hội đồng Dân tộc và các Ủy ban của Quốc hội;</w:t>
            </w:r>
          </w:p>
          <w:p w14:paraId="02D21532" w14:textId="77777777" w:rsidR="00571ACA" w:rsidRPr="004E1958" w:rsidRDefault="00571ACA" w:rsidP="004D11A8">
            <w:pPr>
              <w:ind w:firstLine="0"/>
              <w:rPr>
                <w:sz w:val="22"/>
              </w:rPr>
            </w:pPr>
            <w:r w:rsidRPr="004E1958">
              <w:rPr>
                <w:sz w:val="22"/>
              </w:rPr>
              <w:t>- Văn phòng Quốc hội;</w:t>
            </w:r>
          </w:p>
          <w:p w14:paraId="02D21533" w14:textId="77777777" w:rsidR="00571ACA" w:rsidRPr="004E1958" w:rsidRDefault="00571ACA" w:rsidP="004D11A8">
            <w:pPr>
              <w:ind w:firstLine="0"/>
              <w:rPr>
                <w:sz w:val="22"/>
              </w:rPr>
            </w:pPr>
            <w:r w:rsidRPr="004E1958">
              <w:rPr>
                <w:sz w:val="22"/>
              </w:rPr>
              <w:t>- Tòa án nhân dân tối cao;</w:t>
            </w:r>
          </w:p>
          <w:p w14:paraId="02D21534" w14:textId="77777777" w:rsidR="00571ACA" w:rsidRPr="004E1958" w:rsidRDefault="00571ACA" w:rsidP="004D11A8">
            <w:pPr>
              <w:ind w:firstLine="0"/>
              <w:rPr>
                <w:sz w:val="22"/>
              </w:rPr>
            </w:pPr>
            <w:r w:rsidRPr="004E1958">
              <w:rPr>
                <w:sz w:val="22"/>
              </w:rPr>
              <w:t>- Viện kiểm sát nhân dân tối cao;</w:t>
            </w:r>
          </w:p>
          <w:p w14:paraId="02D21535" w14:textId="77777777" w:rsidR="00571ACA" w:rsidRPr="004E1958" w:rsidRDefault="00571ACA" w:rsidP="004D11A8">
            <w:pPr>
              <w:ind w:firstLine="0"/>
              <w:rPr>
                <w:sz w:val="22"/>
              </w:rPr>
            </w:pPr>
            <w:r w:rsidRPr="004E1958">
              <w:rPr>
                <w:sz w:val="22"/>
              </w:rPr>
              <w:t>- Kiểm toán Nhà nước;</w:t>
            </w:r>
          </w:p>
          <w:p w14:paraId="02D21536" w14:textId="77777777" w:rsidR="00571ACA" w:rsidRPr="004E1958" w:rsidRDefault="00571ACA" w:rsidP="004D11A8">
            <w:pPr>
              <w:ind w:firstLine="0"/>
              <w:rPr>
                <w:sz w:val="22"/>
              </w:rPr>
            </w:pPr>
            <w:r w:rsidRPr="004E1958">
              <w:rPr>
                <w:sz w:val="22"/>
              </w:rPr>
              <w:t>- Ủy ban giám sát tài chính Quốc gia;</w:t>
            </w:r>
          </w:p>
          <w:p w14:paraId="02D21537" w14:textId="77777777" w:rsidR="00571ACA" w:rsidRPr="004E1958" w:rsidRDefault="00571ACA" w:rsidP="004D11A8">
            <w:pPr>
              <w:ind w:firstLine="0"/>
              <w:rPr>
                <w:sz w:val="22"/>
              </w:rPr>
            </w:pPr>
            <w:r w:rsidRPr="004E1958">
              <w:rPr>
                <w:sz w:val="22"/>
              </w:rPr>
              <w:t>- Ngân hàng Chính sách xã hội;</w:t>
            </w:r>
          </w:p>
          <w:p w14:paraId="02D21538" w14:textId="77777777" w:rsidR="00571ACA" w:rsidRPr="004E1958" w:rsidRDefault="00571ACA" w:rsidP="004D11A8">
            <w:pPr>
              <w:ind w:firstLine="0"/>
              <w:rPr>
                <w:sz w:val="22"/>
              </w:rPr>
            </w:pPr>
            <w:r w:rsidRPr="004E1958">
              <w:rPr>
                <w:sz w:val="22"/>
              </w:rPr>
              <w:t>- Ngân hàng Phát triển Việt Nam;</w:t>
            </w:r>
          </w:p>
          <w:p w14:paraId="02D21539" w14:textId="77777777" w:rsidR="00571ACA" w:rsidRPr="004E1958" w:rsidRDefault="00571ACA" w:rsidP="004D11A8">
            <w:pPr>
              <w:ind w:firstLine="0"/>
              <w:rPr>
                <w:sz w:val="22"/>
              </w:rPr>
            </w:pPr>
            <w:r w:rsidRPr="004E1958">
              <w:rPr>
                <w:sz w:val="22"/>
              </w:rPr>
              <w:t>- Ủy ban trung ương Mặt trận Tổ quốc Việt Nam;</w:t>
            </w:r>
          </w:p>
          <w:p w14:paraId="02D2153A" w14:textId="77777777" w:rsidR="00571ACA" w:rsidRPr="004E1958" w:rsidRDefault="00571ACA" w:rsidP="004D11A8">
            <w:pPr>
              <w:ind w:firstLine="0"/>
              <w:rPr>
                <w:sz w:val="22"/>
              </w:rPr>
            </w:pPr>
            <w:r w:rsidRPr="004E1958">
              <w:rPr>
                <w:sz w:val="22"/>
              </w:rPr>
              <w:t>- Cơ quan trung ương của các đoàn thể;</w:t>
            </w:r>
          </w:p>
          <w:p w14:paraId="02D2153B" w14:textId="77777777" w:rsidR="00571ACA" w:rsidRPr="004E1958" w:rsidRDefault="00571ACA" w:rsidP="004D11A8">
            <w:pPr>
              <w:ind w:firstLine="0"/>
              <w:rPr>
                <w:sz w:val="22"/>
              </w:rPr>
            </w:pPr>
            <w:r w:rsidRPr="004E1958">
              <w:rPr>
                <w:sz w:val="22"/>
              </w:rPr>
              <w:t>- VPCP: BTCN, các PCN, Trợ lý TTg, TGĐ Cổng TTĐT,</w:t>
            </w:r>
          </w:p>
          <w:p w14:paraId="02D2153C" w14:textId="77777777" w:rsidR="00571ACA" w:rsidRPr="004E1958" w:rsidRDefault="00571ACA" w:rsidP="004D11A8">
            <w:pPr>
              <w:ind w:firstLine="0"/>
              <w:rPr>
                <w:sz w:val="22"/>
              </w:rPr>
            </w:pPr>
            <w:r w:rsidRPr="004E1958">
              <w:rPr>
                <w:sz w:val="22"/>
              </w:rPr>
              <w:t xml:space="preserve">  các Vụ, Cục, đơn vị trực thuộc, Công báo;</w:t>
            </w:r>
          </w:p>
          <w:p w14:paraId="02D2153D" w14:textId="77777777" w:rsidR="00CF01AB" w:rsidRPr="004E1958" w:rsidRDefault="00CF01AB" w:rsidP="00571ACA">
            <w:pPr>
              <w:ind w:firstLine="0"/>
              <w:rPr>
                <w:sz w:val="22"/>
              </w:rPr>
            </w:pPr>
            <w:r w:rsidRPr="004E1958">
              <w:rPr>
                <w:sz w:val="22"/>
              </w:rPr>
              <w:t xml:space="preserve">- Lưu VT, </w:t>
            </w:r>
            <w:r w:rsidR="00571ACA" w:rsidRPr="004E1958">
              <w:rPr>
                <w:sz w:val="22"/>
              </w:rPr>
              <w:t>KTTH</w:t>
            </w:r>
            <w:r w:rsidRPr="004E1958">
              <w:rPr>
                <w:sz w:val="22"/>
              </w:rPr>
              <w:t>.</w:t>
            </w:r>
          </w:p>
        </w:tc>
        <w:tc>
          <w:tcPr>
            <w:tcW w:w="3793" w:type="dxa"/>
          </w:tcPr>
          <w:p w14:paraId="02D2153E" w14:textId="77777777" w:rsidR="00901CB7" w:rsidRPr="004E1958" w:rsidRDefault="00571ACA" w:rsidP="00901CB7">
            <w:pPr>
              <w:ind w:firstLine="0"/>
              <w:jc w:val="center"/>
              <w:rPr>
                <w:b/>
              </w:rPr>
            </w:pPr>
            <w:r w:rsidRPr="004E1958">
              <w:rPr>
                <w:b/>
              </w:rPr>
              <w:t>THỦ TƯỚNG</w:t>
            </w:r>
          </w:p>
          <w:p w14:paraId="02D2153F" w14:textId="77777777" w:rsidR="008B2DE2" w:rsidRPr="004E1958" w:rsidRDefault="008B2DE2" w:rsidP="00901CB7">
            <w:pPr>
              <w:ind w:firstLine="0"/>
              <w:jc w:val="center"/>
              <w:rPr>
                <w:b/>
              </w:rPr>
            </w:pPr>
          </w:p>
          <w:p w14:paraId="02D21540" w14:textId="77777777" w:rsidR="008B2DE2" w:rsidRPr="004E1958" w:rsidRDefault="008B2DE2" w:rsidP="00901CB7">
            <w:pPr>
              <w:ind w:firstLine="0"/>
              <w:jc w:val="center"/>
              <w:rPr>
                <w:b/>
              </w:rPr>
            </w:pPr>
          </w:p>
          <w:p w14:paraId="02D21541" w14:textId="77777777" w:rsidR="008B2DE2" w:rsidRPr="004E1958" w:rsidRDefault="008B2DE2" w:rsidP="00901CB7">
            <w:pPr>
              <w:ind w:firstLine="0"/>
              <w:jc w:val="center"/>
              <w:rPr>
                <w:b/>
                <w:sz w:val="42"/>
              </w:rPr>
            </w:pPr>
          </w:p>
          <w:p w14:paraId="02D21542" w14:textId="77777777" w:rsidR="008E19E3" w:rsidRPr="004E1958" w:rsidRDefault="008E19E3" w:rsidP="00901CB7">
            <w:pPr>
              <w:ind w:firstLine="0"/>
              <w:jc w:val="center"/>
              <w:rPr>
                <w:b/>
                <w:sz w:val="42"/>
              </w:rPr>
            </w:pPr>
          </w:p>
          <w:p w14:paraId="02D21543" w14:textId="77777777" w:rsidR="008B2DE2" w:rsidRPr="004E1958" w:rsidRDefault="008B2DE2" w:rsidP="00901CB7">
            <w:pPr>
              <w:ind w:firstLine="0"/>
              <w:jc w:val="center"/>
              <w:rPr>
                <w:b/>
              </w:rPr>
            </w:pPr>
          </w:p>
          <w:p w14:paraId="02D21544" w14:textId="77777777" w:rsidR="008B2DE2" w:rsidRPr="004E1958" w:rsidRDefault="008B2DE2" w:rsidP="00571ACA">
            <w:pPr>
              <w:ind w:firstLine="0"/>
              <w:jc w:val="center"/>
            </w:pPr>
            <w:r w:rsidRPr="004E1958">
              <w:rPr>
                <w:b/>
              </w:rPr>
              <w:t xml:space="preserve">Nguyễn </w:t>
            </w:r>
            <w:r w:rsidR="00571ACA" w:rsidRPr="004E1958">
              <w:rPr>
                <w:b/>
              </w:rPr>
              <w:t>Xuân Phúc</w:t>
            </w:r>
          </w:p>
        </w:tc>
      </w:tr>
    </w:tbl>
    <w:p w14:paraId="02D21546" w14:textId="77777777" w:rsidR="00BC2BD9" w:rsidRPr="004E1958" w:rsidRDefault="00BC2BD9">
      <w:pPr>
        <w:sectPr w:rsidR="00BC2BD9" w:rsidRPr="004E1958" w:rsidSect="00DE691A">
          <w:footerReference w:type="default" r:id="rId8"/>
          <w:pgSz w:w="11907" w:h="16840" w:code="9"/>
          <w:pgMar w:top="1134" w:right="1134" w:bottom="1134" w:left="1701" w:header="567" w:footer="454" w:gutter="0"/>
          <w:cols w:space="720"/>
          <w:titlePg/>
          <w:docGrid w:linePitch="381"/>
        </w:sectPr>
      </w:pPr>
    </w:p>
    <w:p w14:paraId="02D21549" w14:textId="7C630E5D" w:rsidR="00745E8C" w:rsidRPr="004E1958" w:rsidRDefault="00BB760C">
      <w:pPr>
        <w:rPr>
          <w:b/>
          <w:i/>
          <w:u w:val="single"/>
        </w:rPr>
      </w:pPr>
      <w:r w:rsidRPr="004E1958">
        <w:lastRenderedPageBreak/>
        <w:br w:type="page"/>
      </w:r>
      <w:r w:rsidRPr="004E1958">
        <w:rPr>
          <w:b/>
          <w:i/>
          <w:u w:val="single"/>
        </w:rPr>
        <w:lastRenderedPageBreak/>
        <w:t>DỰ THẢO</w:t>
      </w:r>
    </w:p>
    <w:p w14:paraId="02D2154A" w14:textId="77777777" w:rsidR="00BB760C" w:rsidRPr="004E1958" w:rsidRDefault="00BB760C" w:rsidP="00BB760C">
      <w:pPr>
        <w:spacing w:before="0" w:after="0"/>
        <w:ind w:firstLine="0"/>
        <w:jc w:val="center"/>
        <w:rPr>
          <w:b/>
        </w:rPr>
      </w:pPr>
      <w:bookmarkStart w:id="7" w:name="loai_2"/>
      <w:r w:rsidRPr="004E1958">
        <w:rPr>
          <w:b/>
        </w:rPr>
        <w:t>QUY ĐỊNH</w:t>
      </w:r>
      <w:bookmarkEnd w:id="7"/>
    </w:p>
    <w:p w14:paraId="194C0428" w14:textId="77777777" w:rsidR="00B35E0D" w:rsidRPr="004E1958" w:rsidRDefault="00BB760C" w:rsidP="00BB760C">
      <w:pPr>
        <w:spacing w:before="0" w:after="0"/>
        <w:ind w:firstLine="0"/>
        <w:jc w:val="center"/>
        <w:rPr>
          <w:b/>
        </w:rPr>
      </w:pPr>
      <w:bookmarkStart w:id="8" w:name="loai_2_name"/>
      <w:r w:rsidRPr="004E1958">
        <w:rPr>
          <w:b/>
        </w:rPr>
        <w:t xml:space="preserve">Các nguyên tắc, tiêu chí và định mức phân bổ </w:t>
      </w:r>
    </w:p>
    <w:p w14:paraId="02D2154B" w14:textId="14482629" w:rsidR="00BB760C" w:rsidRPr="004E1958" w:rsidRDefault="00BB760C" w:rsidP="00BB760C">
      <w:pPr>
        <w:spacing w:before="0" w:after="0"/>
        <w:ind w:firstLine="0"/>
        <w:jc w:val="center"/>
        <w:rPr>
          <w:b/>
        </w:rPr>
      </w:pPr>
      <w:r w:rsidRPr="004E1958">
        <w:rPr>
          <w:b/>
        </w:rPr>
        <w:t xml:space="preserve">vốn </w:t>
      </w:r>
      <w:r w:rsidR="006E0CBA" w:rsidRPr="004E1958">
        <w:rPr>
          <w:b/>
        </w:rPr>
        <w:t>đầu tư công</w:t>
      </w:r>
      <w:r w:rsidRPr="004E1958">
        <w:rPr>
          <w:b/>
        </w:rPr>
        <w:t xml:space="preserve"> nguồn ngân sách nhà nước giai đoạn 2021-2025</w:t>
      </w:r>
    </w:p>
    <w:bookmarkEnd w:id="8"/>
    <w:p w14:paraId="02D2154C" w14:textId="77777777" w:rsidR="00BB760C" w:rsidRPr="004E1958" w:rsidRDefault="00BB760C" w:rsidP="00BB760C">
      <w:pPr>
        <w:spacing w:before="0" w:after="0"/>
        <w:ind w:firstLine="0"/>
        <w:jc w:val="center"/>
        <w:rPr>
          <w:i/>
        </w:rPr>
      </w:pPr>
      <w:r w:rsidRPr="004E1958">
        <w:rPr>
          <w:i/>
        </w:rPr>
        <w:t>(Ban hành kèm theo Quyết định số ..../2019/QĐ-TTg ngày   tháng    năm 2019 của Thủ tướng Chính phủ)</w:t>
      </w:r>
    </w:p>
    <w:p w14:paraId="02D2154D" w14:textId="77777777" w:rsidR="00BB760C" w:rsidRPr="004E1958" w:rsidRDefault="00BB760C" w:rsidP="00BB760C">
      <w:pPr>
        <w:spacing w:before="0" w:after="0"/>
        <w:ind w:firstLine="0"/>
        <w:jc w:val="center"/>
        <w:rPr>
          <w:strike/>
          <w:vertAlign w:val="superscript"/>
        </w:rPr>
      </w:pPr>
      <w:r w:rsidRPr="004E1958">
        <w:rPr>
          <w:strike/>
          <w:vertAlign w:val="superscript"/>
        </w:rPr>
        <w:t xml:space="preserve">-         </w:t>
      </w:r>
      <w:r w:rsidR="0009014B" w:rsidRPr="004E1958">
        <w:rPr>
          <w:strike/>
          <w:vertAlign w:val="superscript"/>
        </w:rPr>
        <w:t xml:space="preserve">  </w:t>
      </w:r>
      <w:r w:rsidRPr="004E1958">
        <w:rPr>
          <w:strike/>
          <w:vertAlign w:val="superscript"/>
        </w:rPr>
        <w:t xml:space="preserve">      -</w:t>
      </w:r>
    </w:p>
    <w:p w14:paraId="0B0B1270" w14:textId="1C43D7CC" w:rsidR="00BF0324" w:rsidRPr="004E1958" w:rsidRDefault="0009014B">
      <w:pPr>
        <w:rPr>
          <w:b/>
          <w:sz w:val="24"/>
        </w:rPr>
      </w:pPr>
      <w:bookmarkStart w:id="9" w:name="muc_1"/>
      <w:r w:rsidRPr="004E1958">
        <w:rPr>
          <w:b/>
          <w:sz w:val="24"/>
        </w:rPr>
        <w:t xml:space="preserve">I. NGÀNH, LĨNH VỰC SỬ DỤNG VỐN </w:t>
      </w:r>
      <w:r w:rsidR="006E0CBA" w:rsidRPr="004E1958">
        <w:rPr>
          <w:b/>
          <w:sz w:val="24"/>
        </w:rPr>
        <w:t>ĐẦU TƯ CÔNG</w:t>
      </w:r>
      <w:r w:rsidRPr="004E1958">
        <w:rPr>
          <w:b/>
          <w:sz w:val="24"/>
        </w:rPr>
        <w:t xml:space="preserve"> NGUỒN NGÂN SÁCH NHÀ NƯỚC GIAI ĐOẠN 20</w:t>
      </w:r>
      <w:bookmarkEnd w:id="9"/>
      <w:r w:rsidR="007F177E" w:rsidRPr="004E1958">
        <w:rPr>
          <w:b/>
          <w:sz w:val="24"/>
        </w:rPr>
        <w:t>21-2025</w:t>
      </w:r>
    </w:p>
    <w:p w14:paraId="02D2154F" w14:textId="18AD94CA" w:rsidR="0009014B" w:rsidRPr="004E1958" w:rsidRDefault="0009014B">
      <w:r w:rsidRPr="004E1958">
        <w:t xml:space="preserve">Vốn </w:t>
      </w:r>
      <w:r w:rsidR="006E0CBA" w:rsidRPr="004E1958">
        <w:t>đầu tư công</w:t>
      </w:r>
      <w:r w:rsidRPr="004E1958">
        <w:t xml:space="preserve"> nguồn ngân sách nhà nước được bố trí </w:t>
      </w:r>
      <w:r w:rsidR="00A255BB" w:rsidRPr="004E1958">
        <w:t xml:space="preserve">cho </w:t>
      </w:r>
      <w:r w:rsidRPr="004E1958">
        <w:t xml:space="preserve">các đối tượng được quy định tại Điều 5 Luật Đầu tư công và được phân theo ngành, lĩnh vực quy định tại </w:t>
      </w:r>
      <w:r w:rsidR="00F30722" w:rsidRPr="004E1958">
        <w:t>Điều 36 Luật Ngân sách nhà nước, cụ thể như sau:</w:t>
      </w:r>
    </w:p>
    <w:p w14:paraId="02D21550" w14:textId="6FDB2343" w:rsidR="00F30722" w:rsidRPr="004E1958" w:rsidRDefault="00F30722">
      <w:r w:rsidRPr="004E1958">
        <w:t xml:space="preserve">1. Quốc phòng: Các </w:t>
      </w:r>
      <w:r w:rsidR="00BF1F4E" w:rsidRPr="004E1958">
        <w:t xml:space="preserve">nhiệm vụ, </w:t>
      </w:r>
      <w:r w:rsidRPr="004E1958">
        <w:t>dự án thuộc</w:t>
      </w:r>
      <w:r w:rsidR="00E92782" w:rsidRPr="004E1958">
        <w:t xml:space="preserve"> </w:t>
      </w:r>
      <w:r w:rsidRPr="004E1958">
        <w:t xml:space="preserve">các ngành, lĩnh vực </w:t>
      </w:r>
      <w:r w:rsidR="0088777F" w:rsidRPr="004E1958">
        <w:t xml:space="preserve">phục vụ mục tiêu quốc phòng, cơ yếu, ứng phó với sự cố thiên tai và tìm kiếm cứu nạn của đơn vị chuyên trách Trung ương và địa phương theo phân cấp; các nhiệm vụ, dự án chuyển tiếp </w:t>
      </w:r>
      <w:r w:rsidR="008E4154" w:rsidRPr="004E1958">
        <w:t>phục vụ</w:t>
      </w:r>
      <w:r w:rsidR="007C7E85" w:rsidRPr="004E1958">
        <w:t xml:space="preserve"> mục tiêu quốc phòng </w:t>
      </w:r>
      <w:r w:rsidR="0088777F" w:rsidRPr="004E1958">
        <w:t>thuộc Chương trình mục tiêu quốc phòng, an ninh trên địa bàn trọng điểm, Chương trình mục tiêu Công nghiệp quốc phòng thực hiện Nghị quyết 06-NQ/TW của Bộ Chính trị, Chương trình mục tiêu Biển Đông - Hải đảo đảm bảo cho lĩnh vực quốc phòng, an ninh trên biển và hải đảo.</w:t>
      </w:r>
    </w:p>
    <w:p w14:paraId="02D21551" w14:textId="75364625" w:rsidR="00F30722" w:rsidRPr="004E1958" w:rsidRDefault="00F30722">
      <w:r w:rsidRPr="004E1958">
        <w:t xml:space="preserve">2. An ninh và trật tự, an toàn xã hội: </w:t>
      </w:r>
      <w:r w:rsidR="00E92782" w:rsidRPr="004E1958">
        <w:t xml:space="preserve">Các </w:t>
      </w:r>
      <w:r w:rsidR="00BF1F4E" w:rsidRPr="004E1958">
        <w:t xml:space="preserve">nhiệm vụ, </w:t>
      </w:r>
      <w:r w:rsidR="00E92782" w:rsidRPr="004E1958">
        <w:t xml:space="preserve">dự án thuộc các ngành, lĩnh vực </w:t>
      </w:r>
      <w:r w:rsidR="0088777F" w:rsidRPr="004E1958">
        <w:t>phục vụ mục tiêu an ninh và trật tự, an toàn xã hội, ứng phó với sự cố thiên tai và tìm kiếm cứu nạn của đơn vị chuyên trách Trung ương và địa phương theo phân cấp</w:t>
      </w:r>
      <w:r w:rsidR="00AF2BC2" w:rsidRPr="004E1958">
        <w:t xml:space="preserve">; các dự án chuyển tiếp </w:t>
      </w:r>
      <w:r w:rsidR="007C7E85" w:rsidRPr="004E1958">
        <w:t xml:space="preserve">có mục tiêu an ninh và trật tự, an toàn xã hội </w:t>
      </w:r>
      <w:r w:rsidR="00AF2BC2" w:rsidRPr="004E1958">
        <w:t>thuộc Chương trình mục tiêu đảm bảo trật tự an toàn giao thông, phòng cháy, chữa cháy, phòng chống tội phạm và ma túy.</w:t>
      </w:r>
    </w:p>
    <w:p w14:paraId="6C56F129" w14:textId="4FC8A98A" w:rsidR="006E59F5" w:rsidRPr="004E1958" w:rsidRDefault="00FE1CAD">
      <w:r w:rsidRPr="004E1958">
        <w:t xml:space="preserve">3. Giáo dục, đào tạo và giáo dục nghề nghiệp: Các </w:t>
      </w:r>
      <w:r w:rsidR="00BF1F4E" w:rsidRPr="004E1958">
        <w:t xml:space="preserve">nhiệm vụ, </w:t>
      </w:r>
      <w:r w:rsidRPr="004E1958">
        <w:t xml:space="preserve">dự án đầu tư xây dựng </w:t>
      </w:r>
      <w:r w:rsidR="00A21DDB" w:rsidRPr="004E1958">
        <w:t xml:space="preserve">cơ sở hạ tầng, </w:t>
      </w:r>
      <w:r w:rsidRPr="004E1958">
        <w:t xml:space="preserve">cơ sở vật chất, trang thiết bị </w:t>
      </w:r>
      <w:r w:rsidR="00A21DDB" w:rsidRPr="004E1958">
        <w:t xml:space="preserve">phục vụ mục tiêu giáo dục, đào tạo và giáo dục nghề nghiệp của </w:t>
      </w:r>
      <w:r w:rsidRPr="004E1958">
        <w:t>các cơ sở giáo dục, đào tạo và cơ sở giáo dục nghề nghiệp, các cấp học từ mầm non đến đại học</w:t>
      </w:r>
      <w:r w:rsidR="00AF2BC2" w:rsidRPr="004E1958">
        <w:t xml:space="preserve"> và các khu đại học địa phương; các dự án chuyển tiếp</w:t>
      </w:r>
      <w:r w:rsidR="007C7E85" w:rsidRPr="004E1958">
        <w:t xml:space="preserve"> có mục tiêu giáo dục, đào tạo và giáo dục nghề nghiệp</w:t>
      </w:r>
      <w:r w:rsidR="00AF2BC2" w:rsidRPr="004E1958">
        <w:t xml:space="preserve"> thuộc Chương trình mục tiêu giáo dục nghề nghiệp – việc làm và an toàn lao động, Chương trình mục tiêu giáo dục vùng núi, vùng dân tộc thiểu số, vùng khó khăn.</w:t>
      </w:r>
    </w:p>
    <w:p w14:paraId="02D21553" w14:textId="601CE9AC" w:rsidR="00A21DDB" w:rsidRPr="004E1958" w:rsidRDefault="00A21DDB">
      <w:r w:rsidRPr="004E1958">
        <w:t xml:space="preserve">4. Khoa học, công nghệ: Các </w:t>
      </w:r>
      <w:r w:rsidR="00BF1F4E" w:rsidRPr="004E1958">
        <w:t xml:space="preserve">nhiệm vụ, </w:t>
      </w:r>
      <w:r w:rsidRPr="004E1958">
        <w:t>dự án đầu tư xây dựng cơ sở hạ tầng, cơ sở vật chất</w:t>
      </w:r>
      <w:r w:rsidR="00BF1F4E" w:rsidRPr="004E1958">
        <w:t>, trang thiết bị</w:t>
      </w:r>
      <w:r w:rsidRPr="004E1958">
        <w:t xml:space="preserve"> cho các tổ chức khoa học và công nghệ; các phòng thí nghiệm, xưởng thực nghiệm; các trung tâm phân tích, kiểm nghiệm, kiểm định; </w:t>
      </w:r>
      <w:r w:rsidRPr="004E1958">
        <w:lastRenderedPageBreak/>
        <w:t xml:space="preserve">các phòng thiết kế chuyên dụng trong lĩnh vực khoa học tự nhiên và kỹ thuật; các trung tâm ứng dụng và chuyển giao công nghệ, </w:t>
      </w:r>
      <w:r w:rsidR="00065A9C" w:rsidRPr="004E1958">
        <w:t>trung tâm đổi mới sáng tạo,</w:t>
      </w:r>
      <w:r w:rsidR="00AF2BC2" w:rsidRPr="004E1958">
        <w:t xml:space="preserve"> trung tâm nghiên cứu và phát triển;</w:t>
      </w:r>
      <w:r w:rsidR="00065A9C" w:rsidRPr="004E1958">
        <w:t xml:space="preserve"> </w:t>
      </w:r>
      <w:r w:rsidRPr="004E1958">
        <w:t xml:space="preserve">các chi cục Tiêu chuẩn - Đo lường - Chất lượng; </w:t>
      </w:r>
      <w:r w:rsidR="00AF2BC2" w:rsidRPr="004E1958">
        <w:t xml:space="preserve">Cục sở hữu trí tuệ; </w:t>
      </w:r>
      <w:r w:rsidRPr="004E1958">
        <w:t>các trạm, trại thực nghiệm; khu công nghệ cao, khu nông nghiệp ứng dụng công nghệ cao</w:t>
      </w:r>
      <w:r w:rsidR="00AF2BC2" w:rsidRPr="004E1958">
        <w:t xml:space="preserve">; các dự án chuyển tiếp </w:t>
      </w:r>
      <w:r w:rsidR="007C7E85" w:rsidRPr="004E1958">
        <w:t xml:space="preserve">có mục tiêu khoa học công nghệ </w:t>
      </w:r>
      <w:r w:rsidR="00AF2BC2" w:rsidRPr="004E1958">
        <w:t xml:space="preserve">thuộc </w:t>
      </w:r>
      <w:r w:rsidR="007C7E85" w:rsidRPr="004E1958">
        <w:t>Chương trình mục tiêu đầu tư hạ tầng khu kinh tế ven biển, khu kinh tế cửa khẩu, khu công nghiệp, cụm công nghiệp, khu công nghệ cao, khu nông nghiệp ứng dụng công nghệ cao.</w:t>
      </w:r>
      <w:r w:rsidR="00AF2BC2" w:rsidRPr="004E1958">
        <w:t xml:space="preserve"> </w:t>
      </w:r>
    </w:p>
    <w:p w14:paraId="02D21554" w14:textId="0AB46F9A" w:rsidR="00BF1F4E" w:rsidRPr="004E1958" w:rsidRDefault="00496D7D">
      <w:r w:rsidRPr="004E1958">
        <w:t>5. Y tế, dân số và gia đình:</w:t>
      </w:r>
      <w:r w:rsidR="00BF1F4E" w:rsidRPr="004E1958">
        <w:t xml:space="preserve"> Các nhiệm vụ, dự án đầu tư xây dựng cơ sở hạ tầng, cơ sở vật chất, trang thiết bị phục vụ mục tiêu về y tế</w:t>
      </w:r>
      <w:r w:rsidR="007C7E85" w:rsidRPr="004E1958">
        <w:t xml:space="preserve"> (bao gồm Y tế dự phòng; Khám bệnh, chữa bệnh, cấp cứu, phục hồi chức năng; y học cổ truyền; giám định y khoa, pháp y, pháp y tâm thần; kiểm định, kiểm nghiệm dược, mỹ phẩm, trang thiết bị y tế và các hoạt động khác thuộc lĩnh vực y tế)</w:t>
      </w:r>
      <w:r w:rsidR="00BF1F4E" w:rsidRPr="004E1958">
        <w:t>, dân số</w:t>
      </w:r>
      <w:r w:rsidR="00FC6674" w:rsidRPr="004E1958">
        <w:t>, gia đình,</w:t>
      </w:r>
      <w:r w:rsidR="007C7E85" w:rsidRPr="004E1958">
        <w:t xml:space="preserve"> </w:t>
      </w:r>
      <w:r w:rsidR="00FC6674" w:rsidRPr="004E1958">
        <w:t>sức khỏe sinh sản</w:t>
      </w:r>
      <w:r w:rsidR="00BF1F4E" w:rsidRPr="004E1958">
        <w:t>, an toàn vệ sinh thực phẩm cho các bệnh viện, các cơ sở y tế, trung tâm kiểm nghiệm, kiểm định, giám định của cơ quan quản lý</w:t>
      </w:r>
      <w:r w:rsidR="00FC6674" w:rsidRPr="004E1958">
        <w:t>, trung tâm</w:t>
      </w:r>
      <w:r w:rsidR="00BF1F4E" w:rsidRPr="004E1958">
        <w:t xml:space="preserve"> chuyên ngành liên quan</w:t>
      </w:r>
      <w:r w:rsidR="00FC6674" w:rsidRPr="004E1958">
        <w:t xml:space="preserve">; </w:t>
      </w:r>
      <w:bookmarkStart w:id="10" w:name="_Hlk21251131"/>
      <w:r w:rsidR="00FC6674" w:rsidRPr="004E1958">
        <w:t>các dự án chuyển tiếp thuộc Chương trình mục tiêu</w:t>
      </w:r>
      <w:r w:rsidR="00BF1F4E" w:rsidRPr="004E1958">
        <w:t xml:space="preserve"> </w:t>
      </w:r>
      <w:bookmarkEnd w:id="10"/>
      <w:r w:rsidR="00FC6674" w:rsidRPr="004E1958">
        <w:t>y tế - dân số, Chương trình mục tiêu đầu tư phát triển hệ thống y tế địa phương.</w:t>
      </w:r>
    </w:p>
    <w:p w14:paraId="02D21555" w14:textId="5D3862C8" w:rsidR="00A21DDB" w:rsidRPr="004E1958" w:rsidRDefault="00BF1F4E">
      <w:r w:rsidRPr="004E1958">
        <w:t>6. Văn hóa thông tin: Các nhiệm vụ, dự án phục vụ các mục tiêu thuộc các lĩnh vực sau:</w:t>
      </w:r>
    </w:p>
    <w:p w14:paraId="02D21556" w14:textId="3AFBD16A" w:rsidR="0036587E" w:rsidRPr="004E1958" w:rsidRDefault="00BF1F4E">
      <w:r w:rsidRPr="004E1958">
        <w:t xml:space="preserve">a) Văn hóa: </w:t>
      </w:r>
      <w:r w:rsidR="00FC6674" w:rsidRPr="004E1958">
        <w:t>Bảo vệ, bảo tồn giá trị di sản văn hóa vật thể và phi vật thể, văn hóa dân tộc; phát triển văn học nghệ thuật, điện ảnh, thư viện, bảo tàng, văn hóa cơ sở, các loại hình nghệ thuật biểu diễn; phát triển hệ thống thiết chế văn hóa, các công trình văn hóa; các dự án chuyển tiếp thuộc Chương trình mục tiêu phát triển văn hóa.</w:t>
      </w:r>
    </w:p>
    <w:p w14:paraId="02D21557" w14:textId="102A0BB6" w:rsidR="00BF1F4E" w:rsidRPr="004E1958" w:rsidRDefault="00BF1F4E">
      <w:r w:rsidRPr="004E1958">
        <w:t xml:space="preserve">b) Thông tin: </w:t>
      </w:r>
      <w:r w:rsidR="00DC05B9" w:rsidRPr="004E1958">
        <w:t xml:space="preserve">cơ sở hạ tầng, cơ sở vật chất, trang thiết bị </w:t>
      </w:r>
      <w:r w:rsidRPr="004E1958">
        <w:t>phục vụ hoạt động xuất bản, báo chí</w:t>
      </w:r>
      <w:r w:rsidR="00AF28F4" w:rsidRPr="004E1958">
        <w:t xml:space="preserve"> của Nhà nước</w:t>
      </w:r>
      <w:r w:rsidR="0036587E" w:rsidRPr="004E1958">
        <w:t>.</w:t>
      </w:r>
    </w:p>
    <w:p w14:paraId="02D21558" w14:textId="77777777" w:rsidR="00BF1F4E" w:rsidRPr="00DE691A" w:rsidRDefault="00FB346A">
      <w:pPr>
        <w:rPr>
          <w:spacing w:val="-4"/>
        </w:rPr>
      </w:pPr>
      <w:r w:rsidRPr="00DE691A">
        <w:rPr>
          <w:spacing w:val="-4"/>
        </w:rPr>
        <w:t>7. Phát thanh, truyền hình, thông tấn: Các nhiệm vụ, dự án đầu tư xây dựng cơ sở hạ tầng, cơ sở vật chất, trang thiết bị phục vụ các mục tiêu phát thanh, truyền hình, thông tấn nhằm thực hiện nhiệm vụ chính trị, xã hội, công ích thiết yếu.</w:t>
      </w:r>
    </w:p>
    <w:p w14:paraId="02D21559" w14:textId="77777777" w:rsidR="00A255BB" w:rsidRPr="004E1958" w:rsidRDefault="00A255BB">
      <w:r w:rsidRPr="004E1958">
        <w:t>8. Thể dục thể thao: Các nhiệm vụ, dự án đầu tư xây dựng cơ sở hạ tầng, cơ sở vật chất, trang thiết bị phục vụ các mục tiêu phát triển thể dục, thể thao.</w:t>
      </w:r>
    </w:p>
    <w:p w14:paraId="02D2155A" w14:textId="77777777" w:rsidR="00FB346A" w:rsidRPr="004E1958" w:rsidRDefault="00DC05B9">
      <w:r w:rsidRPr="004E1958">
        <w:t>9. Bảo vệ môi trường: Các nhiệm vụ, dự án phục vụ các mục tiêu thuộc các lĩnh vực sau:</w:t>
      </w:r>
    </w:p>
    <w:p w14:paraId="02D2155B" w14:textId="1489AFE1" w:rsidR="00FB346A" w:rsidRPr="004E1958" w:rsidRDefault="00DC05B9">
      <w:r w:rsidRPr="004E1958">
        <w:t xml:space="preserve">a) Môi trường: cơ sở hạ tầng, cơ sở vật chất, trang thiết bị quan trắc cảnh báo môi trường; bảo vệ tài nguyên, khắc phục ô nhiễm môi trường, </w:t>
      </w:r>
      <w:r w:rsidR="009A4374" w:rsidRPr="004E1958">
        <w:t xml:space="preserve">xử lý chất thải, </w:t>
      </w:r>
      <w:r w:rsidRPr="004E1958">
        <w:t>tăng trưởng xanh, ứng phó với biến đổi khí hậu và phát triển bền vững;</w:t>
      </w:r>
      <w:r w:rsidR="00FC6674" w:rsidRPr="004E1958">
        <w:t xml:space="preserve"> các dự án </w:t>
      </w:r>
      <w:r w:rsidR="00FC6674" w:rsidRPr="004E1958">
        <w:lastRenderedPageBreak/>
        <w:t>chuyển tiếp thuộc Chương trình mục tiêu xử lý triệt để cơ sở gây ô nhiễm môi trường nghiêm trọng thuộc đối tượng công ích, Chương trình mục tiêu ứng phó với biến đổi khí hậu và tăng trưởng xanh.</w:t>
      </w:r>
    </w:p>
    <w:p w14:paraId="02D2155C" w14:textId="5DFFBAE3" w:rsidR="00DC05B9" w:rsidRPr="004E1958" w:rsidRDefault="00DC05B9">
      <w:r w:rsidRPr="004E1958">
        <w:t>b) Tài nguyên: cơ sở hạ tầng, cơ sở vật chất, trang thiết bị đo đạc bản đồ, khí tượng thủy văn, thăm dò địa chất, khoáng sản, nguồn nước, các dự án trong lĩnh vực biển và hải đảo</w:t>
      </w:r>
      <w:r w:rsidR="00530A82" w:rsidRPr="004E1958">
        <w:t>; các dự án chuyển tiếp có mục tiêu tài nguyên thuộc Chương trình mục tiêu Biển Đông-Hải đảo đảm bảo cho lĩnh vực quốc phòng, an ninh trên biển và hải đảo.</w:t>
      </w:r>
    </w:p>
    <w:p w14:paraId="02D2155D" w14:textId="5DC6346E" w:rsidR="00F30722" w:rsidRPr="004E1958" w:rsidRDefault="00DC05B9">
      <w:r w:rsidRPr="004E1958">
        <w:t>10. Các hoạt động kinh tế: Các nhiệm vụ, dự án phục vụ các mục tiêu thuộc các lĩnh vực sau:</w:t>
      </w:r>
      <w:r w:rsidR="004A3C53" w:rsidRPr="004E1958">
        <w:t xml:space="preserve"> </w:t>
      </w:r>
    </w:p>
    <w:p w14:paraId="2DBB86E5" w14:textId="752645E7" w:rsidR="0071139D" w:rsidRPr="004E1958" w:rsidRDefault="009139DE">
      <w:r w:rsidRPr="004E1958">
        <w:rPr>
          <w:color w:val="000000"/>
          <w:lang w:val="vi-VN" w:eastAsia="vi-VN" w:bidi="vi-VN"/>
        </w:rPr>
        <w:t>a) Nông nghi</w:t>
      </w:r>
      <w:r w:rsidR="00530A82" w:rsidRPr="004E1958">
        <w:rPr>
          <w:color w:val="000000"/>
          <w:lang w:eastAsia="vi-VN" w:bidi="vi-VN"/>
        </w:rPr>
        <w:t>ệ</w:t>
      </w:r>
      <w:r w:rsidRPr="004E1958">
        <w:rPr>
          <w:color w:val="000000"/>
          <w:lang w:val="vi-VN" w:eastAsia="vi-VN" w:bidi="vi-VN"/>
        </w:rPr>
        <w:t>p, lâ</w:t>
      </w:r>
      <w:r w:rsidRPr="004E1958">
        <w:rPr>
          <w:color w:val="000000"/>
          <w:lang w:eastAsia="vi-VN" w:bidi="vi-VN"/>
        </w:rPr>
        <w:t>m ng</w:t>
      </w:r>
      <w:r w:rsidR="00C4088E" w:rsidRPr="004E1958">
        <w:rPr>
          <w:color w:val="000000"/>
          <w:lang w:eastAsia="vi-VN" w:bidi="vi-VN"/>
        </w:rPr>
        <w:t>hiệp</w:t>
      </w:r>
      <w:r w:rsidR="008D09E1" w:rsidRPr="004E1958">
        <w:rPr>
          <w:color w:val="000000"/>
          <w:lang w:eastAsia="vi-VN" w:bidi="vi-VN"/>
        </w:rPr>
        <w:t>,</w:t>
      </w:r>
      <w:r w:rsidRPr="004E1958">
        <w:rPr>
          <w:color w:val="000000"/>
          <w:lang w:val="vi-VN" w:eastAsia="vi-VN" w:bidi="vi-VN"/>
        </w:rPr>
        <w:t xml:space="preserve"> diêm nghiệp, thủy lợi và th</w:t>
      </w:r>
      <w:r w:rsidR="008D09E1" w:rsidRPr="004E1958">
        <w:rPr>
          <w:color w:val="000000"/>
          <w:lang w:eastAsia="vi-VN" w:bidi="vi-VN"/>
        </w:rPr>
        <w:t>ủ</w:t>
      </w:r>
      <w:r w:rsidRPr="004E1958">
        <w:rPr>
          <w:color w:val="000000"/>
          <w:lang w:val="vi-VN" w:eastAsia="vi-VN" w:bidi="vi-VN"/>
        </w:rPr>
        <w:t>y sản: cơ s</w:t>
      </w:r>
      <w:r w:rsidR="008D09E1" w:rsidRPr="004E1958">
        <w:rPr>
          <w:color w:val="000000"/>
          <w:lang w:eastAsia="vi-VN" w:bidi="vi-VN"/>
        </w:rPr>
        <w:t>ở</w:t>
      </w:r>
      <w:r w:rsidRPr="004E1958">
        <w:rPr>
          <w:color w:val="000000"/>
          <w:lang w:val="vi-VN" w:eastAsia="vi-VN" w:bidi="vi-VN"/>
        </w:rPr>
        <w:t xml:space="preserve"> hạ tầng, cơ</w:t>
      </w:r>
      <w:r w:rsidR="008D09E1" w:rsidRPr="004E1958">
        <w:rPr>
          <w:color w:val="000000"/>
          <w:lang w:eastAsia="vi-VN" w:bidi="vi-VN"/>
        </w:rPr>
        <w:t xml:space="preserve"> sở vật chất</w:t>
      </w:r>
      <w:r w:rsidR="00CD02A7" w:rsidRPr="004E1958">
        <w:rPr>
          <w:color w:val="000000"/>
          <w:lang w:eastAsia="vi-VN" w:bidi="vi-VN"/>
        </w:rPr>
        <w:t>, trang thiết bị cho n</w:t>
      </w:r>
      <w:r w:rsidR="00CD02A7" w:rsidRPr="004E1958">
        <w:rPr>
          <w:color w:val="000000"/>
          <w:lang w:val="vi-VN" w:eastAsia="vi-VN" w:bidi="vi-VN"/>
        </w:rPr>
        <w:t>ông nghi</w:t>
      </w:r>
      <w:r w:rsidR="00530A82" w:rsidRPr="004E1958">
        <w:rPr>
          <w:color w:val="000000"/>
          <w:lang w:eastAsia="vi-VN" w:bidi="vi-VN"/>
        </w:rPr>
        <w:t>ệ</w:t>
      </w:r>
      <w:r w:rsidR="00CD02A7" w:rsidRPr="004E1958">
        <w:rPr>
          <w:color w:val="000000"/>
          <w:lang w:val="vi-VN" w:eastAsia="vi-VN" w:bidi="vi-VN"/>
        </w:rPr>
        <w:t>p, lâ</w:t>
      </w:r>
      <w:r w:rsidR="00CD02A7" w:rsidRPr="004E1958">
        <w:rPr>
          <w:color w:val="000000"/>
          <w:lang w:eastAsia="vi-VN" w:bidi="vi-VN"/>
        </w:rPr>
        <w:t>m nghiệp</w:t>
      </w:r>
      <w:r w:rsidR="00CD02A7" w:rsidRPr="004E1958">
        <w:rPr>
          <w:color w:val="000000"/>
          <w:lang w:val="vi-VN" w:eastAsia="vi-VN" w:bidi="vi-VN"/>
        </w:rPr>
        <w:t>, diêm nghiệp</w:t>
      </w:r>
      <w:r w:rsidRPr="004E1958">
        <w:rPr>
          <w:color w:val="000000"/>
          <w:lang w:val="vi-VN" w:eastAsia="vi-VN" w:bidi="vi-VN"/>
        </w:rPr>
        <w:t>, th</w:t>
      </w:r>
      <w:r w:rsidR="00CD02A7" w:rsidRPr="004E1958">
        <w:rPr>
          <w:color w:val="000000"/>
          <w:lang w:eastAsia="vi-VN" w:bidi="vi-VN"/>
        </w:rPr>
        <w:t>ủ</w:t>
      </w:r>
      <w:r w:rsidRPr="004E1958">
        <w:rPr>
          <w:color w:val="000000"/>
          <w:lang w:val="vi-VN" w:eastAsia="vi-VN" w:bidi="vi-VN"/>
        </w:rPr>
        <w:t>y lợi và thủy sản</w:t>
      </w:r>
      <w:r w:rsidR="00530A82" w:rsidRPr="004E1958">
        <w:rPr>
          <w:color w:val="000000"/>
          <w:lang w:eastAsia="vi-VN" w:bidi="vi-VN"/>
        </w:rPr>
        <w:t>;</w:t>
      </w:r>
      <w:r w:rsidRPr="004E1958">
        <w:rPr>
          <w:color w:val="000000"/>
          <w:lang w:val="vi-VN" w:eastAsia="vi-VN" w:bidi="vi-VN"/>
        </w:rPr>
        <w:t xml:space="preserve"> kinh t</w:t>
      </w:r>
      <w:r w:rsidR="00CD02A7" w:rsidRPr="004E1958">
        <w:rPr>
          <w:color w:val="000000"/>
          <w:lang w:eastAsia="vi-VN" w:bidi="vi-VN"/>
        </w:rPr>
        <w:t>ế</w:t>
      </w:r>
      <w:r w:rsidRPr="004E1958">
        <w:rPr>
          <w:color w:val="000000"/>
          <w:lang w:val="vi-VN" w:eastAsia="vi-VN" w:bidi="vi-VN"/>
        </w:rPr>
        <w:t xml:space="preserve"> nông thôn (</w:t>
      </w:r>
      <w:r w:rsidR="00530A82" w:rsidRPr="004E1958">
        <w:rPr>
          <w:color w:val="000000"/>
          <w:lang w:eastAsia="vi-VN" w:bidi="vi-VN"/>
        </w:rPr>
        <w:t xml:space="preserve">bao gồm </w:t>
      </w:r>
      <w:r w:rsidRPr="004E1958">
        <w:rPr>
          <w:color w:val="000000"/>
          <w:lang w:val="vi-VN" w:eastAsia="vi-VN" w:bidi="vi-VN"/>
        </w:rPr>
        <w:t>xây dựng nông thôn mới</w:t>
      </w:r>
      <w:r w:rsidR="00530A82" w:rsidRPr="004E1958">
        <w:rPr>
          <w:color w:val="000000"/>
          <w:lang w:eastAsia="vi-VN" w:bidi="vi-VN"/>
        </w:rPr>
        <w:t>,</w:t>
      </w:r>
      <w:r w:rsidRPr="004E1958">
        <w:rPr>
          <w:color w:val="000000"/>
          <w:lang w:val="vi-VN" w:eastAsia="vi-VN" w:bidi="vi-VN"/>
        </w:rPr>
        <w:t xml:space="preserve"> cung cấp nước sạch và bảo đảm vệ s</w:t>
      </w:r>
      <w:r w:rsidR="00D60FCF" w:rsidRPr="004E1958">
        <w:rPr>
          <w:color w:val="000000"/>
          <w:lang w:eastAsia="vi-VN" w:bidi="vi-VN"/>
        </w:rPr>
        <w:t>i</w:t>
      </w:r>
      <w:r w:rsidRPr="004E1958">
        <w:rPr>
          <w:color w:val="000000"/>
          <w:lang w:val="vi-VN" w:eastAsia="vi-VN" w:bidi="vi-VN"/>
        </w:rPr>
        <w:t>nh môi trường nông thôn</w:t>
      </w:r>
      <w:r w:rsidR="00530A82" w:rsidRPr="004E1958">
        <w:rPr>
          <w:color w:val="000000"/>
          <w:lang w:eastAsia="vi-VN" w:bidi="vi-VN"/>
        </w:rPr>
        <w:t>,</w:t>
      </w:r>
      <w:r w:rsidRPr="004E1958">
        <w:rPr>
          <w:color w:val="000000"/>
          <w:lang w:val="vi-VN" w:eastAsia="vi-VN" w:bidi="vi-VN"/>
        </w:rPr>
        <w:t xml:space="preserve"> phát triển ngành nghề, làng ngh</w:t>
      </w:r>
      <w:r w:rsidR="00D60FCF" w:rsidRPr="004E1958">
        <w:rPr>
          <w:color w:val="000000"/>
          <w:lang w:eastAsia="vi-VN" w:bidi="vi-VN"/>
        </w:rPr>
        <w:t>ề</w:t>
      </w:r>
      <w:r w:rsidRPr="004E1958">
        <w:rPr>
          <w:color w:val="000000"/>
          <w:lang w:val="vi-VN" w:eastAsia="vi-VN" w:bidi="vi-VN"/>
        </w:rPr>
        <w:t xml:space="preserve"> n</w:t>
      </w:r>
      <w:r w:rsidR="00D60FCF" w:rsidRPr="004E1958">
        <w:rPr>
          <w:color w:val="000000"/>
          <w:lang w:eastAsia="vi-VN" w:bidi="vi-VN"/>
        </w:rPr>
        <w:t>ô</w:t>
      </w:r>
      <w:r w:rsidRPr="004E1958">
        <w:rPr>
          <w:color w:val="000000"/>
          <w:lang w:val="vi-VN" w:eastAsia="vi-VN" w:bidi="vi-VN"/>
        </w:rPr>
        <w:t>ng thôn g</w:t>
      </w:r>
      <w:r w:rsidR="00D60FCF" w:rsidRPr="004E1958">
        <w:rPr>
          <w:color w:val="000000"/>
          <w:lang w:eastAsia="vi-VN" w:bidi="vi-VN"/>
        </w:rPr>
        <w:t>ắ</w:t>
      </w:r>
      <w:r w:rsidRPr="004E1958">
        <w:rPr>
          <w:color w:val="000000"/>
          <w:lang w:val="vi-VN" w:eastAsia="vi-VN" w:bidi="vi-VN"/>
        </w:rPr>
        <w:t>n với hộ gia đình và hợp tác xã</w:t>
      </w:r>
      <w:r w:rsidR="00530A82" w:rsidRPr="004E1958">
        <w:rPr>
          <w:color w:val="000000"/>
          <w:lang w:eastAsia="vi-VN" w:bidi="vi-VN"/>
        </w:rPr>
        <w:t>,</w:t>
      </w:r>
      <w:r w:rsidRPr="004E1958">
        <w:rPr>
          <w:color w:val="000000"/>
          <w:lang w:val="vi-VN" w:eastAsia="vi-VN" w:bidi="vi-VN"/>
        </w:rPr>
        <w:t xml:space="preserve"> bố trí, sắp xếp lại dân cư nông thôn</w:t>
      </w:r>
      <w:r w:rsidR="00530A82" w:rsidRPr="004E1958">
        <w:rPr>
          <w:color w:val="000000"/>
          <w:lang w:eastAsia="vi-VN" w:bidi="vi-VN"/>
        </w:rPr>
        <w:t>,</w:t>
      </w:r>
      <w:r w:rsidRPr="004E1958">
        <w:rPr>
          <w:color w:val="000000"/>
          <w:lang w:val="vi-VN" w:eastAsia="vi-VN" w:bidi="vi-VN"/>
        </w:rPr>
        <w:t xml:space="preserve"> định canh, định cư, ổn định di dân tự do và tái định cư)</w:t>
      </w:r>
      <w:r w:rsidR="00530A82" w:rsidRPr="004E1958">
        <w:rPr>
          <w:color w:val="000000"/>
          <w:lang w:eastAsia="vi-VN" w:bidi="vi-VN"/>
        </w:rPr>
        <w:t>;</w:t>
      </w:r>
      <w:r w:rsidRPr="004E1958">
        <w:rPr>
          <w:color w:val="000000"/>
          <w:lang w:val="vi-VN" w:eastAsia="vi-VN" w:bidi="vi-VN"/>
        </w:rPr>
        <w:t xml:space="preserve"> phát triển giống c</w:t>
      </w:r>
      <w:r w:rsidR="00D60FCF" w:rsidRPr="004E1958">
        <w:rPr>
          <w:color w:val="000000"/>
          <w:lang w:eastAsia="vi-VN" w:bidi="vi-VN"/>
        </w:rPr>
        <w:t>â</w:t>
      </w:r>
      <w:r w:rsidRPr="004E1958">
        <w:rPr>
          <w:color w:val="000000"/>
          <w:lang w:val="vi-VN" w:eastAsia="vi-VN" w:bidi="vi-VN"/>
        </w:rPr>
        <w:t>y trồng, v</w:t>
      </w:r>
      <w:r w:rsidR="00D60FCF" w:rsidRPr="004E1958">
        <w:rPr>
          <w:color w:val="000000"/>
          <w:lang w:eastAsia="vi-VN" w:bidi="vi-VN"/>
        </w:rPr>
        <w:t>ậ</w:t>
      </w:r>
      <w:r w:rsidRPr="004E1958">
        <w:rPr>
          <w:color w:val="000000"/>
          <w:lang w:val="vi-VN" w:eastAsia="vi-VN" w:bidi="vi-VN"/>
        </w:rPr>
        <w:t>t nuôi</w:t>
      </w:r>
      <w:r w:rsidR="00530A82" w:rsidRPr="004E1958">
        <w:rPr>
          <w:color w:val="000000"/>
          <w:lang w:eastAsia="vi-VN" w:bidi="vi-VN"/>
        </w:rPr>
        <w:t>;</w:t>
      </w:r>
      <w:r w:rsidRPr="004E1958">
        <w:rPr>
          <w:color w:val="000000"/>
          <w:lang w:val="vi-VN" w:eastAsia="vi-VN" w:bidi="vi-VN"/>
        </w:rPr>
        <w:t xml:space="preserve"> phòng tránh thiên tai, lụt bão, hạn hán</w:t>
      </w:r>
      <w:r w:rsidR="00553BE1" w:rsidRPr="004E1958">
        <w:rPr>
          <w:color w:val="000000"/>
          <w:lang w:eastAsia="vi-VN" w:bidi="vi-VN"/>
        </w:rPr>
        <w:t xml:space="preserve">; </w:t>
      </w:r>
      <w:r w:rsidR="00553BE1" w:rsidRPr="004E1958">
        <w:t xml:space="preserve">các dự án chuyển tiếp có mục tiêu nông nghiệp, </w:t>
      </w:r>
      <w:r w:rsidR="00553BE1" w:rsidRPr="004E1958">
        <w:rPr>
          <w:color w:val="000000"/>
          <w:lang w:val="vi-VN" w:eastAsia="vi-VN" w:bidi="vi-VN"/>
        </w:rPr>
        <w:t>lâ</w:t>
      </w:r>
      <w:r w:rsidR="00553BE1" w:rsidRPr="004E1958">
        <w:rPr>
          <w:color w:val="000000"/>
          <w:lang w:eastAsia="vi-VN" w:bidi="vi-VN"/>
        </w:rPr>
        <w:t>m nghiệp,</w:t>
      </w:r>
      <w:r w:rsidR="00553BE1" w:rsidRPr="004E1958">
        <w:rPr>
          <w:color w:val="000000"/>
          <w:lang w:val="vi-VN" w:eastAsia="vi-VN" w:bidi="vi-VN"/>
        </w:rPr>
        <w:t xml:space="preserve"> diêm nghiệp, thủy lợi và th</w:t>
      </w:r>
      <w:r w:rsidR="00553BE1" w:rsidRPr="004E1958">
        <w:rPr>
          <w:color w:val="000000"/>
          <w:lang w:eastAsia="vi-VN" w:bidi="vi-VN"/>
        </w:rPr>
        <w:t>ủ</w:t>
      </w:r>
      <w:r w:rsidR="00553BE1" w:rsidRPr="004E1958">
        <w:rPr>
          <w:color w:val="000000"/>
          <w:lang w:val="vi-VN" w:eastAsia="vi-VN" w:bidi="vi-VN"/>
        </w:rPr>
        <w:t>y sản</w:t>
      </w:r>
      <w:r w:rsidR="00553BE1" w:rsidRPr="004E1958">
        <w:t xml:space="preserve"> thuộc Chương trình mục tiêu đầu tư hạ tầng khu kinh tế ven biển, khu kinh tế cửa khẩu, khu công nghiệp, cụm công nghiệp, khu công nghệ cao, khu nông nghiệp ứng dụng công nghệ cao, Chương trình mục tiêu phát triển kinh tế thủy sản bền vững, Chương trình mục tiêu phát triển lâm nghiệp bền vững, Chương trình mục tiêu tái cơ cấu kinh tế nông nghiệp và phòng chống giảm nhẹ thiên tai, ổn định đời sống dân cư.</w:t>
      </w:r>
    </w:p>
    <w:p w14:paraId="02D2155F" w14:textId="14838906" w:rsidR="00DC05B9" w:rsidRPr="00DE691A" w:rsidRDefault="00DC05B9">
      <w:pPr>
        <w:rPr>
          <w:spacing w:val="-4"/>
        </w:rPr>
      </w:pPr>
      <w:r w:rsidRPr="00DE691A">
        <w:rPr>
          <w:spacing w:val="-4"/>
        </w:rPr>
        <w:t xml:space="preserve">b) Công nghiệp: </w:t>
      </w:r>
      <w:r w:rsidR="00530A82" w:rsidRPr="00DE691A">
        <w:rPr>
          <w:spacing w:val="-4"/>
        </w:rPr>
        <w:t>cấp điện nông thôn, miền núi và hải đảo</w:t>
      </w:r>
      <w:r w:rsidR="00F23A9D" w:rsidRPr="00DE691A">
        <w:rPr>
          <w:spacing w:val="-4"/>
        </w:rPr>
        <w:t xml:space="preserve">; các </w:t>
      </w:r>
      <w:r w:rsidR="00530A82" w:rsidRPr="00DE691A">
        <w:rPr>
          <w:spacing w:val="-4"/>
        </w:rPr>
        <w:t xml:space="preserve">nhiệm vụ, </w:t>
      </w:r>
      <w:r w:rsidR="00F23A9D" w:rsidRPr="00DE691A">
        <w:rPr>
          <w:spacing w:val="-4"/>
        </w:rPr>
        <w:t>dự án thuộc lĩnh vực dầu khí theo quyết định của Thủ tướng Chính phủ;</w:t>
      </w:r>
      <w:r w:rsidR="00553BE1" w:rsidRPr="00DE691A">
        <w:rPr>
          <w:spacing w:val="-4"/>
        </w:rPr>
        <w:t xml:space="preserve"> các dự án chuyển tiếp thuộc Chương trình mục tiêu cấp điện nông thôn, miền núi và hải đảo.</w:t>
      </w:r>
    </w:p>
    <w:p w14:paraId="02D21560" w14:textId="44B010CD" w:rsidR="009A4374" w:rsidRPr="004E1958" w:rsidRDefault="009A4374">
      <w:r w:rsidRPr="004E1958">
        <w:t xml:space="preserve">c) Giao thông: </w:t>
      </w:r>
      <w:r w:rsidR="00530A82" w:rsidRPr="004E1958">
        <w:t>kết cấu</w:t>
      </w:r>
      <w:r w:rsidRPr="004E1958">
        <w:t xml:space="preserve"> hạ tầng giao thông đường bộ, đường sắt, đường thủy nội địa, đường biển, đường hàng không.</w:t>
      </w:r>
    </w:p>
    <w:p w14:paraId="02D21561" w14:textId="6EFAE03C" w:rsidR="00F23A9D" w:rsidRPr="004E1958" w:rsidRDefault="009A4374">
      <w:r w:rsidRPr="004E1958">
        <w:t>d</w:t>
      </w:r>
      <w:r w:rsidR="00F23A9D" w:rsidRPr="004E1958">
        <w:t>) Khu công nghiệp và khu kinh tế: hạ tầng các khu kinh tế ven biển, khu kinh tế cửa khẩu và hạ tầng khu công nghiệp, cụm công nghiệp</w:t>
      </w:r>
      <w:r w:rsidR="00530A82" w:rsidRPr="004E1958">
        <w:t>; các dự án chuyển tiếp có mục tiêu khu công nghiệp và khu kinh tế thuộc Chương trình mục tiêu đầu tư hạ tầng khu kinh tế ven biển, khu kinh tế cửa khẩu, khu công nghiệp, cụm công nghiệp, khu công nghệ cao, khu nông nghiệp ứng dụng công nghệ cao.</w:t>
      </w:r>
    </w:p>
    <w:p w14:paraId="7E9E5BC3" w14:textId="5921A28C" w:rsidR="000422EF" w:rsidRPr="004E1958" w:rsidRDefault="009A4374">
      <w:r w:rsidRPr="004E1958">
        <w:t>đ) Thương mại: chợ dân sinh, chợ đầu mối, trung tâm logistic, trung tâm hội chợ triển lãm, kết cấu hạ tầng xuất khẩu, nhập khẩu</w:t>
      </w:r>
      <w:r w:rsidR="00553BE1" w:rsidRPr="004E1958">
        <w:t xml:space="preserve">; các dự án chuyển tiếp có mục </w:t>
      </w:r>
      <w:r w:rsidR="00553BE1" w:rsidRPr="004E1958">
        <w:lastRenderedPageBreak/>
        <w:t>tiêu thương mại thuộc Chương trình mục tiêu đầu tư hạ tầng khu kinh tế ven biển, khu kinh tế cửa khẩu, khu công nghiệp, cụm công nghiệp, khu công nghệ cao, khu nông nghiệp ứng dụng công nghệ cao.</w:t>
      </w:r>
    </w:p>
    <w:p w14:paraId="02D21563" w14:textId="6BBDA9C5" w:rsidR="009A4374" w:rsidRPr="004E1958" w:rsidRDefault="009A4374">
      <w:r w:rsidRPr="004E1958">
        <w:t>e) Cấp nước, thoát nước.</w:t>
      </w:r>
    </w:p>
    <w:p w14:paraId="02D21564" w14:textId="77777777" w:rsidR="009A4374" w:rsidRPr="00DE691A" w:rsidRDefault="009A4374">
      <w:pPr>
        <w:rPr>
          <w:spacing w:val="-4"/>
        </w:rPr>
      </w:pPr>
      <w:r w:rsidRPr="00DE691A">
        <w:rPr>
          <w:spacing w:val="-4"/>
        </w:rPr>
        <w:t>g) Kho tàng: cơ sở hạ tầng, cơ sở vật chất, trang thiết bị kho tàng, kho lưu trữ chuyên dụng, lưu giữ hàng dự trữ quốc gia, lưu trữ hồ sơ, tài liệu, kho vật chứng.</w:t>
      </w:r>
    </w:p>
    <w:p w14:paraId="02D21565" w14:textId="152C6C38" w:rsidR="00F90877" w:rsidRPr="004E1958" w:rsidRDefault="00F90877">
      <w:r w:rsidRPr="004E1958">
        <w:t>h) Du lịch: cơ sở hạ tầng nhằm phát triển du lịch bền vững tại các khu, điểm, địa bàn du lịch</w:t>
      </w:r>
      <w:r w:rsidR="00553BE1" w:rsidRPr="004E1958">
        <w:t>; các dự án chuyển tiếp thuộc Chương trình mục tiêu phát triển hạ tầng du lịch.</w:t>
      </w:r>
    </w:p>
    <w:p w14:paraId="02D21566" w14:textId="636B78F1" w:rsidR="009859B3" w:rsidRPr="004E1958" w:rsidRDefault="009859B3">
      <w:r w:rsidRPr="004E1958">
        <w:t>i) </w:t>
      </w:r>
      <w:r w:rsidR="00553BE1" w:rsidRPr="004E1958">
        <w:t>Viễn</w:t>
      </w:r>
      <w:r w:rsidRPr="004E1958">
        <w:t xml:space="preserve"> thông: </w:t>
      </w:r>
      <w:r w:rsidR="00553BE1" w:rsidRPr="004E1958">
        <w:t>Các dự án viễn thông phục vụ mục tiêu hiện đại hóa cơ sở hạ tầng viễn thông</w:t>
      </w:r>
      <w:r w:rsidRPr="004E1958">
        <w:t>.</w:t>
      </w:r>
    </w:p>
    <w:p w14:paraId="02D21567" w14:textId="5B8E7514" w:rsidR="00514773" w:rsidRPr="004E1958" w:rsidRDefault="00514773">
      <w:r w:rsidRPr="004E1958">
        <w:t>k) </w:t>
      </w:r>
      <w:r w:rsidR="00D86934" w:rsidRPr="004E1958">
        <w:t>Công nghệ thông tin: các dự án hạ tầng thông tin số, hạ tầng ứng dụng công nghệ thông tin; hạ tầng phát triển công nghệ thông tin an toàn thông tin mạng</w:t>
      </w:r>
      <w:r w:rsidR="003D73B1" w:rsidRPr="004E1958">
        <w:t xml:space="preserve">, </w:t>
      </w:r>
      <w:r w:rsidR="004A7550" w:rsidRPr="004E1958">
        <w:t>các dự án chuyển tiếp thuộc Chương trình mục tiêu công nghệ thông tin.</w:t>
      </w:r>
    </w:p>
    <w:p w14:paraId="02D21568" w14:textId="0E6D4B8A" w:rsidR="00F90877" w:rsidRPr="004E1958" w:rsidRDefault="00B3458F">
      <w:r w:rsidRPr="004E1958">
        <w:t xml:space="preserve">11) Hoạt động của các cơ quan quản lý nhà nước, tổ chức chính trị và các tổ chức chính trị - xã hội; hỗ trợ hoạt động cho các tổ chức chính trị xã hội - nghề nghiệp, tổ chức xã hội, tổ chức xã hội - nghề nghiệp theo quy định của pháp luật: Các </w:t>
      </w:r>
      <w:r w:rsidR="00D86934" w:rsidRPr="004E1958">
        <w:t xml:space="preserve">nhiệm vụ, </w:t>
      </w:r>
      <w:r w:rsidRPr="004E1958">
        <w:t xml:space="preserve">dự án </w:t>
      </w:r>
      <w:r w:rsidR="00D86934" w:rsidRPr="004E1958">
        <w:t xml:space="preserve">phục vụ mục tiêu xây dựng, </w:t>
      </w:r>
      <w:r w:rsidR="005B795E" w:rsidRPr="004E1958">
        <w:t>cải tạo</w:t>
      </w:r>
      <w:r w:rsidR="00D86934" w:rsidRPr="004E1958">
        <w:t xml:space="preserve">, nâng cấp </w:t>
      </w:r>
      <w:r w:rsidRPr="004E1958">
        <w:t>trụ sở, nhà công vụ</w:t>
      </w:r>
      <w:r w:rsidR="0046527F" w:rsidRPr="004E1958">
        <w:t>, mua sắm trang thiết bị</w:t>
      </w:r>
      <w:r w:rsidRPr="004E1958">
        <w:t xml:space="preserve"> của các cơ quan </w:t>
      </w:r>
      <w:r w:rsidR="00D86934" w:rsidRPr="004E1958">
        <w:t>thuộc hệ thống chính trị</w:t>
      </w:r>
      <w:r w:rsidRPr="004E1958">
        <w:t>; dự án mua mới, xây dựng và cải tạo trụ sở làm việc,</w:t>
      </w:r>
      <w:r w:rsidR="0046527F" w:rsidRPr="004E1958">
        <w:t xml:space="preserve"> nhà ở, mua sắm trang thiết bị</w:t>
      </w:r>
      <w:r w:rsidRPr="004E1958">
        <w:t xml:space="preserve"> của các cơ quan đại diện Việt Nam ở nước ngoài và các cơ quan khác của Chính phủ Việt Nam ở nước ngoài.</w:t>
      </w:r>
    </w:p>
    <w:p w14:paraId="6C00E193" w14:textId="1D14566F" w:rsidR="00844134" w:rsidRPr="004E1958" w:rsidRDefault="00A84FAE">
      <w:r w:rsidRPr="004E1958">
        <w:t>12) Xã hội: các nhiệm vụ, dự án đầu tư xây dựng</w:t>
      </w:r>
      <w:r w:rsidR="0046527F" w:rsidRPr="004E1958">
        <w:t xml:space="preserve">, </w:t>
      </w:r>
      <w:r w:rsidR="005B795E" w:rsidRPr="004E1958">
        <w:t>cải tạo</w:t>
      </w:r>
      <w:r w:rsidR="0046527F" w:rsidRPr="004E1958">
        <w:t>, nâng cấp</w:t>
      </w:r>
      <w:r w:rsidRPr="004E1958">
        <w:t xml:space="preserve"> cơ sở hạ tầng, cơ sở vật chất, </w:t>
      </w:r>
      <w:r w:rsidR="0046527F" w:rsidRPr="004E1958">
        <w:t xml:space="preserve">mua sắm </w:t>
      </w:r>
      <w:r w:rsidRPr="004E1958">
        <w:t>trang thiết bị</w:t>
      </w:r>
      <w:r w:rsidR="0046527F" w:rsidRPr="004E1958">
        <w:t xml:space="preserve"> của</w:t>
      </w:r>
      <w:r w:rsidRPr="004E1958">
        <w:t xml:space="preserve"> các cơ sở điều dưỡng, phục hồi chức năng, nuôi dưỡng người có công; hỗ trợ việc làm; chăm sóc, điều dưỡng sức khỏe người lao động; </w:t>
      </w:r>
      <w:r w:rsidR="005B795E" w:rsidRPr="004E1958">
        <w:t xml:space="preserve">xây dựng, </w:t>
      </w:r>
      <w:r w:rsidRPr="004E1958">
        <w:t xml:space="preserve">cải tạo, nâng cấp các công trình ghi công liệt sỹ; cơ sở cai nghiện và các </w:t>
      </w:r>
      <w:r w:rsidR="005B795E" w:rsidRPr="004E1958">
        <w:t>dự án</w:t>
      </w:r>
      <w:r w:rsidRPr="004E1958">
        <w:t xml:space="preserve"> trợ giúp xã hội khác; trung tâm phát triển </w:t>
      </w:r>
      <w:r w:rsidR="005B795E" w:rsidRPr="004E1958">
        <w:t>con người do Thủ tướng Chính phủ quyết định</w:t>
      </w:r>
      <w:r w:rsidR="00932684" w:rsidRPr="004E1958">
        <w:t xml:space="preserve">; </w:t>
      </w:r>
      <w:r w:rsidR="00F04DE7" w:rsidRPr="004E1958">
        <w:t>các dự án chuyển tiếp</w:t>
      </w:r>
      <w:r w:rsidR="002B2531" w:rsidRPr="004E1958">
        <w:t xml:space="preserve"> có mục tiêu xã hội</w:t>
      </w:r>
      <w:r w:rsidR="00F04DE7" w:rsidRPr="004E1958">
        <w:t xml:space="preserve"> thuộc Chương trình mục tiêu phát triển hệ thống trợ giúp xã hội</w:t>
      </w:r>
      <w:r w:rsidR="002B2531" w:rsidRPr="004E1958">
        <w:t>, Chương trình mục tiêu giáo dục nghề nghiệp - Việc làm và An toàn lao động.</w:t>
      </w:r>
    </w:p>
    <w:p w14:paraId="7B748F99" w14:textId="032E6832" w:rsidR="00093988" w:rsidRPr="004E1958" w:rsidRDefault="00AD12DA">
      <w:r w:rsidRPr="004E1958">
        <w:t>13) Các nhiệm vụ, dự án khác theo quy định của pháp luật</w:t>
      </w:r>
      <w:r w:rsidR="005B795E" w:rsidRPr="004E1958">
        <w:t xml:space="preserve"> (bao gồm: Thực hiện nhiệm vụ quy hoạch; </w:t>
      </w:r>
      <w:r w:rsidR="00C54EFC" w:rsidRPr="004E1958">
        <w:t>Cấp bù lãi suất tín dụng ưu đãi, phí quản lý; cấp vốn điều lệ cho các ngân hàng chính sách, quỹ tài chính nhà nước ngoài ngân sách; hỗ trợ đầu tư cho các đối tượng</w:t>
      </w:r>
      <w:r w:rsidR="004C1166" w:rsidRPr="004E1958">
        <w:t xml:space="preserve"> chính sách khác theo quyết định của Thủ tướng Chính phủ</w:t>
      </w:r>
      <w:r w:rsidR="005B795E" w:rsidRPr="004E1958">
        <w:t>, hỗ trợ phát triển doanh nghiệp đầu tư vào nông nghiệp, nông thôn).</w:t>
      </w:r>
    </w:p>
    <w:p w14:paraId="265FF72B" w14:textId="474B2E8B" w:rsidR="004A7550" w:rsidRPr="004E1958" w:rsidRDefault="00F05545">
      <w:r w:rsidRPr="004E1958">
        <w:lastRenderedPageBreak/>
        <w:t xml:space="preserve">Đối với các nhiệm vụ, dự án chuyển tiếp thuộc Chương trình mục tiêu phát triển kinh tế - xã hội các vùng, Chương trình mục tiêu hỗ trợ vốn đối ứng ODA cho các địa phương, </w:t>
      </w:r>
      <w:r w:rsidR="007E21FE" w:rsidRPr="004E1958">
        <w:t xml:space="preserve">các địa phương </w:t>
      </w:r>
      <w:r w:rsidR="00F4235A" w:rsidRPr="004E1958">
        <w:t>sắp xếp tương ứng vào các ngành, lĩnh vực nêu trên</w:t>
      </w:r>
      <w:r w:rsidR="0089259D" w:rsidRPr="004E1958">
        <w:t xml:space="preserve"> </w:t>
      </w:r>
      <w:r w:rsidR="00964466" w:rsidRPr="004E1958">
        <w:t>phù hợp với</w:t>
      </w:r>
      <w:r w:rsidR="0089259D" w:rsidRPr="004E1958">
        <w:t xml:space="preserve"> tính chất, mục tiêu của các nhiệm vụ, dự án.</w:t>
      </w:r>
    </w:p>
    <w:p w14:paraId="02D2156B" w14:textId="6E002EF8" w:rsidR="001167F6" w:rsidRPr="004E1958" w:rsidRDefault="001167F6">
      <w:pPr>
        <w:rPr>
          <w:b/>
          <w:sz w:val="24"/>
        </w:rPr>
      </w:pPr>
      <w:bookmarkStart w:id="11" w:name="muc_2"/>
      <w:r w:rsidRPr="004E1958">
        <w:rPr>
          <w:b/>
          <w:sz w:val="24"/>
        </w:rPr>
        <w:t>II. NGUYÊN TẮC CHUNG V</w:t>
      </w:r>
      <w:r w:rsidR="0093059A" w:rsidRPr="004E1958">
        <w:rPr>
          <w:b/>
          <w:sz w:val="24"/>
        </w:rPr>
        <w:t>À THỨ TỰ ƯU TIÊN</w:t>
      </w:r>
      <w:r w:rsidRPr="004E1958">
        <w:rPr>
          <w:b/>
          <w:sz w:val="24"/>
        </w:rPr>
        <w:t xml:space="preserve"> PHÂN BỔ VỐN </w:t>
      </w:r>
      <w:r w:rsidR="006E0CBA" w:rsidRPr="004E1958">
        <w:rPr>
          <w:b/>
          <w:sz w:val="24"/>
        </w:rPr>
        <w:t>ĐẦU TƯ CÔNG</w:t>
      </w:r>
      <w:r w:rsidRPr="004E1958">
        <w:rPr>
          <w:b/>
          <w:sz w:val="24"/>
        </w:rPr>
        <w:t xml:space="preserve"> NGUỒN NGÂN SÁCH NHÀ NƯỚC GIAI ĐOẠN </w:t>
      </w:r>
      <w:bookmarkEnd w:id="11"/>
      <w:r w:rsidR="007F177E" w:rsidRPr="004E1958">
        <w:rPr>
          <w:b/>
          <w:sz w:val="24"/>
        </w:rPr>
        <w:t>2021-2025</w:t>
      </w:r>
    </w:p>
    <w:p w14:paraId="02D2156C" w14:textId="5372FBCF" w:rsidR="001167F6" w:rsidRPr="004E1958" w:rsidRDefault="001167F6">
      <w:r w:rsidRPr="004E1958">
        <w:t>1. Nguyên tắc chung</w:t>
      </w:r>
    </w:p>
    <w:p w14:paraId="02D2156D" w14:textId="54E902D3" w:rsidR="001167F6" w:rsidRPr="004E1958" w:rsidRDefault="00224E0A">
      <w:r w:rsidRPr="004E1958">
        <w:t xml:space="preserve">a) </w:t>
      </w:r>
      <w:r w:rsidR="001167F6" w:rsidRPr="004E1958">
        <w:t xml:space="preserve">Việc phân bổ vốn </w:t>
      </w:r>
      <w:r w:rsidR="006E0CBA" w:rsidRPr="004E1958">
        <w:t>đầu tư công</w:t>
      </w:r>
      <w:r w:rsidR="001167F6" w:rsidRPr="004E1958">
        <w:t xml:space="preserve"> nguồn ngân sách nhà nước giai đoạn </w:t>
      </w:r>
      <w:r w:rsidR="007F177E" w:rsidRPr="004E1958">
        <w:t>2021-2025</w:t>
      </w:r>
      <w:r w:rsidR="001167F6" w:rsidRPr="004E1958">
        <w:t xml:space="preserve"> phải tuân thủ các quy định của Luật Đầu tư công, Luật Ngân sách nhà nước và các văn bản pháp luật có liên quan.</w:t>
      </w:r>
    </w:p>
    <w:p w14:paraId="02D2156E" w14:textId="3101DA08" w:rsidR="001167F6" w:rsidRPr="004E1958" w:rsidRDefault="001167F6">
      <w:r w:rsidRPr="004E1958">
        <w:t xml:space="preserve">b) Bảo đảm quản lý tập trung, thống nhất về mục tiêu, cơ chế, chính sách; thực hiện phân cấp trong quản lý đầu tư theo quy định của pháp luật, tạo quyền chủ động cho các </w:t>
      </w:r>
      <w:r w:rsidR="00001031" w:rsidRPr="004E1958">
        <w:t>b</w:t>
      </w:r>
      <w:r w:rsidRPr="004E1958">
        <w:t xml:space="preserve">ộ, </w:t>
      </w:r>
      <w:r w:rsidR="007F177E" w:rsidRPr="004E1958">
        <w:t>cơ quan</w:t>
      </w:r>
      <w:r w:rsidRPr="004E1958">
        <w:t xml:space="preserve"> </w:t>
      </w:r>
      <w:r w:rsidR="00001031" w:rsidRPr="004E1958">
        <w:t>t</w:t>
      </w:r>
      <w:r w:rsidRPr="004E1958">
        <w:t>rung ương và các cấp chính quyền địa phương.</w:t>
      </w:r>
    </w:p>
    <w:p w14:paraId="57A1B97D" w14:textId="6447FDB2" w:rsidR="00E2794E" w:rsidRPr="004E1958" w:rsidRDefault="001167F6">
      <w:r w:rsidRPr="004E1958">
        <w:t xml:space="preserve">c) Việc phân bổ vốn </w:t>
      </w:r>
      <w:r w:rsidR="006E0CBA" w:rsidRPr="004E1958">
        <w:t>đầu tư công</w:t>
      </w:r>
      <w:r w:rsidRPr="004E1958">
        <w:t xml:space="preserve"> nguồn ngân sách nhà nước phải phục vụ cho thực hiện các mục tiêu, định hướng phát triển tại Chiến lược phát triển kinh tế - xã hội 10 năm 20</w:t>
      </w:r>
      <w:r w:rsidR="007F177E" w:rsidRPr="004E1958">
        <w:t>2</w:t>
      </w:r>
      <w:r w:rsidRPr="004E1958">
        <w:t>1</w:t>
      </w:r>
      <w:r w:rsidR="007F177E" w:rsidRPr="004E1958">
        <w:t>-2030</w:t>
      </w:r>
      <w:r w:rsidRPr="004E1958">
        <w:t>, Kế hoạch phát triển kinh tế - xã hội 5 năm 20</w:t>
      </w:r>
      <w:r w:rsidR="007F177E" w:rsidRPr="004E1958">
        <w:t>21-2025</w:t>
      </w:r>
      <w:r w:rsidRPr="004E1958">
        <w:t xml:space="preserve"> của quốc gia, của các ngành, lĩnh vực, địa phương, </w:t>
      </w:r>
      <w:r w:rsidR="00980AF6" w:rsidRPr="004E1958">
        <w:t>kế hoạch tài chính 05 năm, kế hoạch vay, trả nợ 05 năm</w:t>
      </w:r>
      <w:r w:rsidR="003627A0" w:rsidRPr="004E1958">
        <w:t>,</w:t>
      </w:r>
      <w:r w:rsidR="00980AF6" w:rsidRPr="004E1958">
        <w:t xml:space="preserve"> </w:t>
      </w:r>
      <w:r w:rsidR="007F177E" w:rsidRPr="004E1958">
        <w:t xml:space="preserve">các </w:t>
      </w:r>
      <w:r w:rsidRPr="004E1958">
        <w:t>quy hoạch</w:t>
      </w:r>
      <w:r w:rsidR="007F177E" w:rsidRPr="004E1958">
        <w:t xml:space="preserve"> theo quy định của Luật Quy hoạch được cấp có thẩm quyền</w:t>
      </w:r>
      <w:r w:rsidR="00E3414A" w:rsidRPr="004E1958">
        <w:t xml:space="preserve"> quyết định</w:t>
      </w:r>
      <w:r w:rsidR="007F177E" w:rsidRPr="004E1958">
        <w:t xml:space="preserve"> phê duyệt</w:t>
      </w:r>
      <w:r w:rsidR="00E2794E" w:rsidRPr="004E1958">
        <w:t xml:space="preserve">, bảo đảm mục tiêu phát triển bền vững, hài hòa giữa </w:t>
      </w:r>
      <w:r w:rsidR="00CE2A50" w:rsidRPr="004E1958">
        <w:t>k</w:t>
      </w:r>
      <w:r w:rsidR="00E2794E" w:rsidRPr="004E1958">
        <w:t xml:space="preserve">inh tế và </w:t>
      </w:r>
      <w:r w:rsidR="00CE2A50" w:rsidRPr="004E1958">
        <w:t>x</w:t>
      </w:r>
      <w:r w:rsidR="00E2794E" w:rsidRPr="004E1958">
        <w:t>ã hội.</w:t>
      </w:r>
    </w:p>
    <w:p w14:paraId="02D21570" w14:textId="2686D882" w:rsidR="001167F6" w:rsidRPr="004E1958" w:rsidRDefault="001167F6">
      <w:r w:rsidRPr="004E1958">
        <w:t>d) Phù hợp với khả năng cân đối vốn đầu tư từ nguồn ngân sách nhà nước và thu hút các nguồn vốn đầu tư của các thành phần kinh tế khác, của từng ngành, lĩnh vực và địa phương; bảo đảm các cân đối vĩ mô, an toàn nợ công.</w:t>
      </w:r>
    </w:p>
    <w:p w14:paraId="02D21571" w14:textId="600EA743" w:rsidR="001167F6" w:rsidRPr="004E1958" w:rsidRDefault="001167F6">
      <w:r w:rsidRPr="004E1958">
        <w:t xml:space="preserve">đ) Bố trí vốn đầu tư tập trung, </w:t>
      </w:r>
      <w:r w:rsidR="0026273B" w:rsidRPr="004E1958">
        <w:t>không</w:t>
      </w:r>
      <w:r w:rsidRPr="004E1958">
        <w:t xml:space="preserve"> phân tán, dàn trải, bảo đảm hiệu quả sử dụng vốn đầu tư. Chỉ bố trí vốn cho các dự án đã đủ thủ tục đầu tư được cấp có thẩm quyền phê duyệt theo đúng quy định của Luật Đầu tư công và các văn bản pháp luật có liên quan.</w:t>
      </w:r>
    </w:p>
    <w:p w14:paraId="02D21572" w14:textId="6AEF35FF" w:rsidR="007F177E" w:rsidRPr="004E1958" w:rsidRDefault="007F177E">
      <w:r w:rsidRPr="004E1958">
        <w:t>e) Tập trung ưu tiên bố trí vốn để thực hiện, đẩy nhanh tiến độ và hoàn thành các dự án thuộc chương trình mục tiêu quốc gia, dự án quan trọng quốc gia, dự án kết nối</w:t>
      </w:r>
      <w:r w:rsidR="00077B59" w:rsidRPr="004E1958">
        <w:t>, có tác động</w:t>
      </w:r>
      <w:r w:rsidRPr="004E1958">
        <w:t xml:space="preserve"> liên vùng, dự án có ý nghĩa thúc đẩy phát triển kinh tế - xã hội nhanh, bền vững của cả nước và của các cấp, các ngành</w:t>
      </w:r>
      <w:r w:rsidR="00FA32D1" w:rsidRPr="004E1958">
        <w:t>;</w:t>
      </w:r>
      <w:r w:rsidR="009104CF" w:rsidRPr="004E1958">
        <w:t xml:space="preserve"> </w:t>
      </w:r>
      <w:r w:rsidR="00FA32D1" w:rsidRPr="004E1958">
        <w:t>đ</w:t>
      </w:r>
      <w:r w:rsidR="009104CF" w:rsidRPr="004E1958">
        <w:t xml:space="preserve">ảm bảo tỉ lệ cân đối vốn ngân sách nhà nước bao gồm vốn đầu tư và vốn chi thường xuyên chi cho giáo dục, đào tạo, </w:t>
      </w:r>
      <w:r w:rsidR="00541026" w:rsidRPr="004E1958">
        <w:t>k</w:t>
      </w:r>
      <w:r w:rsidR="009104CF" w:rsidRPr="004E1958">
        <w:t>hoa học và công nghệ</w:t>
      </w:r>
      <w:r w:rsidR="006E0F0E" w:rsidRPr="004E1958">
        <w:t>,</w:t>
      </w:r>
      <w:r w:rsidR="009104CF" w:rsidRPr="004E1958">
        <w:t xml:space="preserve"> bảo vệ môi trường </w:t>
      </w:r>
      <w:r w:rsidR="00CA4FD2" w:rsidRPr="004E1958">
        <w:t>theo Nghị quyết của Quốc hội.</w:t>
      </w:r>
    </w:p>
    <w:p w14:paraId="02D21573" w14:textId="22A49282" w:rsidR="001167F6" w:rsidRPr="004E1958" w:rsidRDefault="007F177E">
      <w:r w:rsidRPr="004E1958">
        <w:t>g</w:t>
      </w:r>
      <w:r w:rsidR="001167F6" w:rsidRPr="004E1958">
        <w:t>) </w:t>
      </w:r>
      <w:r w:rsidRPr="004E1958">
        <w:t xml:space="preserve">Bố trí vốn hợp lý cho các vùng miền núi, biên giới, hải đảo, </w:t>
      </w:r>
      <w:r w:rsidR="001167F6" w:rsidRPr="004E1958">
        <w:t xml:space="preserve">vùng đồng bào dân tộc thiểu số và các vùng khó khăn, góp phần thu hẹp dần khoảng cách về </w:t>
      </w:r>
      <w:r w:rsidR="001167F6" w:rsidRPr="004E1958">
        <w:lastRenderedPageBreak/>
        <w:t>trình độ phát triển kinh tế, thu nhập và mức sống của dân cư giữa các vùng, miền trong cả nước.</w:t>
      </w:r>
    </w:p>
    <w:p w14:paraId="02D21574" w14:textId="77777777" w:rsidR="001167F6" w:rsidRPr="004E1958" w:rsidRDefault="001167F6">
      <w:r w:rsidRPr="004E1958">
        <w:t>h) Bảo đảm công khai, minh bạch trong việc phân bổ vốn kế hoạch đầu tư công, góp phần đẩy mạnh cải cách hành chính và tăng cường công tác phòng, chống tham nhũng, thực hành tiết kiệm, chống lãng phí.</w:t>
      </w:r>
    </w:p>
    <w:p w14:paraId="02D21575" w14:textId="4DC7ADBC" w:rsidR="00AF797C" w:rsidRPr="004E1958" w:rsidRDefault="001167F6">
      <w:r w:rsidRPr="004E1958">
        <w:t>i) </w:t>
      </w:r>
      <w:r w:rsidR="00AF797C" w:rsidRPr="004E1958">
        <w:t xml:space="preserve">Chủ động để dành một khoản vốn ngân sách trung ương chưa phân bổ ở mức hợp lý ở cả cấp quốc gia và trong từng bộ, cơ quan </w:t>
      </w:r>
      <w:r w:rsidR="00F11CE2" w:rsidRPr="004E1958">
        <w:t>t</w:t>
      </w:r>
      <w:r w:rsidR="00AF797C" w:rsidRPr="004E1958">
        <w:t xml:space="preserve">rung ương và địa phương trong kế hoạch đầu tư công trung hạn giai đoạn 2021-2025 để xử lý các vấn đề phát sinh trong quá trình điều hành kế hoạch đầu tư trung hạn. </w:t>
      </w:r>
    </w:p>
    <w:p w14:paraId="02D21576" w14:textId="661788C8" w:rsidR="00185C10" w:rsidRPr="004E1958" w:rsidRDefault="00185C10">
      <w:r w:rsidRPr="004E1958">
        <w:t>2. </w:t>
      </w:r>
      <w:r w:rsidR="00F042F3" w:rsidRPr="004E1958">
        <w:t xml:space="preserve">Thứ tự ưu tiên </w:t>
      </w:r>
      <w:r w:rsidRPr="004E1958">
        <w:t xml:space="preserve">bố trí vốn kế hoạch đầu tư nguồn ngân sách nhà nước trung hạn </w:t>
      </w:r>
      <w:r w:rsidR="00F042F3" w:rsidRPr="004E1958">
        <w:t xml:space="preserve">và hằng năm </w:t>
      </w:r>
      <w:r w:rsidRPr="004E1958">
        <w:t xml:space="preserve">theo từng ngành, lĩnh vực, chương trình của </w:t>
      </w:r>
      <w:r w:rsidR="00161B7B" w:rsidRPr="004E1958">
        <w:t>b</w:t>
      </w:r>
      <w:r w:rsidRPr="004E1958">
        <w:t xml:space="preserve">ộ, </w:t>
      </w:r>
      <w:r w:rsidR="00161B7B" w:rsidRPr="004E1958">
        <w:t>cơ quan</w:t>
      </w:r>
      <w:r w:rsidRPr="004E1958">
        <w:t xml:space="preserve"> trung ương và địa phương trong giai đoạn 20</w:t>
      </w:r>
      <w:r w:rsidR="00161B7B" w:rsidRPr="004E1958">
        <w:t>21</w:t>
      </w:r>
      <w:r w:rsidRPr="004E1958">
        <w:t xml:space="preserve"> - 202</w:t>
      </w:r>
      <w:r w:rsidR="00161B7B" w:rsidRPr="004E1958">
        <w:t>5</w:t>
      </w:r>
      <w:r w:rsidRPr="004E1958">
        <w:t xml:space="preserve"> </w:t>
      </w:r>
      <w:r w:rsidR="00161B7B" w:rsidRPr="004E1958">
        <w:t>như</w:t>
      </w:r>
      <w:r w:rsidRPr="004E1958">
        <w:t xml:space="preserve"> sau:</w:t>
      </w:r>
    </w:p>
    <w:p w14:paraId="02D21577" w14:textId="77777777" w:rsidR="002B14D3" w:rsidRPr="004E1958" w:rsidRDefault="002B14D3">
      <w:r w:rsidRPr="004E1958">
        <w:t>- Bố trí đủ vốn để thanh toán nợ đọng xây dựng cơ bản theo quy định tại khoản 4 Điều 101 Luật Đầ</w:t>
      </w:r>
      <w:r w:rsidR="00DB4627" w:rsidRPr="004E1958">
        <w:t>u tư công (nếu có);</w:t>
      </w:r>
    </w:p>
    <w:p w14:paraId="02D21578" w14:textId="3840995D" w:rsidR="002B14D3" w:rsidRPr="004E1958" w:rsidRDefault="002B14D3">
      <w:r w:rsidRPr="004E1958">
        <w:t>- Bố trí đủ vốn để hoàn trả vốn ứng</w:t>
      </w:r>
      <w:r w:rsidR="00B8578B" w:rsidRPr="004E1958">
        <w:t xml:space="preserve"> trước</w:t>
      </w:r>
      <w:r w:rsidRPr="004E1958">
        <w:t xml:space="preserve"> kế hoạch nhưng chưa có nguồn để hoàn trả trong kế hoạch đầu tư công trung hạn giai đoạn trướ</w:t>
      </w:r>
      <w:r w:rsidR="00DB4627" w:rsidRPr="004E1958">
        <w:t>c (nếu còn);</w:t>
      </w:r>
    </w:p>
    <w:p w14:paraId="02D21579" w14:textId="52D53253" w:rsidR="00DB4627" w:rsidRPr="00DE691A" w:rsidRDefault="00DB4627">
      <w:pPr>
        <w:rPr>
          <w:spacing w:val="-8"/>
        </w:rPr>
      </w:pPr>
      <w:r w:rsidRPr="00DE691A">
        <w:rPr>
          <w:spacing w:val="-8"/>
        </w:rPr>
        <w:t xml:space="preserve">- </w:t>
      </w:r>
      <w:r w:rsidR="003C2983" w:rsidRPr="00DE691A">
        <w:rPr>
          <w:spacing w:val="-8"/>
        </w:rPr>
        <w:t>Bố trí</w:t>
      </w:r>
      <w:r w:rsidRPr="00DE691A">
        <w:rPr>
          <w:spacing w:val="-8"/>
        </w:rPr>
        <w:t xml:space="preserve"> vốn để thực hiện nhiệm vụ quy hoạch theo quy định của Luật Quy hoạch;</w:t>
      </w:r>
    </w:p>
    <w:p w14:paraId="02D2157A" w14:textId="2F0EC8DD" w:rsidR="00185C10" w:rsidRPr="004E1958" w:rsidRDefault="00185C10">
      <w:r w:rsidRPr="004E1958">
        <w:t>- </w:t>
      </w:r>
      <w:r w:rsidR="0007032F" w:rsidRPr="004E1958">
        <w:t>B</w:t>
      </w:r>
      <w:r w:rsidRPr="004E1958">
        <w:t>ố trí vốn cho dự án đã hoàn thành</w:t>
      </w:r>
      <w:r w:rsidR="003627A0" w:rsidRPr="004E1958">
        <w:t>, quyết toán</w:t>
      </w:r>
      <w:r w:rsidRPr="004E1958">
        <w:t xml:space="preserve"> và bàn giao đưa vào sử dụng nhưng chưa bố trí đủ vốn; </w:t>
      </w:r>
      <w:r w:rsidR="004C2DF5" w:rsidRPr="004E1958">
        <w:t xml:space="preserve">vốn đối ứng cho dự án sử dụng vốn ODA và vốn vay ưu đãi của các nhà tài trợ nước ngoài; </w:t>
      </w:r>
      <w:r w:rsidR="00855846" w:rsidRPr="004E1958">
        <w:t xml:space="preserve">vốn đầu tư của Nhà nước tham gia thực hiện dự án theo phương thức đối tác công tư; </w:t>
      </w:r>
      <w:r w:rsidR="003B7D18" w:rsidRPr="004E1958">
        <w:t xml:space="preserve">dự án chuyển tiếp thực hiện theo tiến độ được phê duyệt; </w:t>
      </w:r>
      <w:r w:rsidRPr="004E1958">
        <w:t xml:space="preserve">dự án dự kiến hoàn thành trong kỳ kế hoạch; </w:t>
      </w:r>
    </w:p>
    <w:p w14:paraId="02D2157C" w14:textId="617BABFA" w:rsidR="00DB4627" w:rsidRPr="004E1958" w:rsidRDefault="00185C10">
      <w:r w:rsidRPr="004E1958">
        <w:t>- Dự án khởi công mới đáp ứng yêu cầu quy định tại </w:t>
      </w:r>
      <w:bookmarkStart w:id="12" w:name="dc_1"/>
      <w:r w:rsidR="00661374" w:rsidRPr="004E1958">
        <w:t>k</w:t>
      </w:r>
      <w:r w:rsidRPr="004E1958">
        <w:t xml:space="preserve">hoản </w:t>
      </w:r>
      <w:r w:rsidR="00B7472C" w:rsidRPr="004E1958">
        <w:t>5</w:t>
      </w:r>
      <w:r w:rsidRPr="004E1958">
        <w:t xml:space="preserve"> Điều 5</w:t>
      </w:r>
      <w:r w:rsidR="00B7472C" w:rsidRPr="004E1958">
        <w:t xml:space="preserve">1 </w:t>
      </w:r>
      <w:r w:rsidR="00DB4627" w:rsidRPr="004E1958">
        <w:t>của Luật Đầu tư công;</w:t>
      </w:r>
    </w:p>
    <w:p w14:paraId="02D2157D" w14:textId="29BB4041" w:rsidR="00DB4627" w:rsidRPr="004E1958" w:rsidRDefault="00DB4627">
      <w:r w:rsidRPr="004E1958">
        <w:t>- Chuẩn bị đầu tư</w:t>
      </w:r>
      <w:r w:rsidR="005B514E" w:rsidRPr="004E1958">
        <w:t xml:space="preserve"> để lập, thẩm định, phê duyệt chủ trương đầu tư và lập, thẩm định, quyết định đầu tư chương trình, dự án</w:t>
      </w:r>
      <w:r w:rsidRPr="004E1958">
        <w:t xml:space="preserve">. </w:t>
      </w:r>
    </w:p>
    <w:p w14:paraId="02D2157E" w14:textId="627A539F" w:rsidR="00023266" w:rsidRPr="004E1958" w:rsidRDefault="00023266">
      <w:r w:rsidRPr="004E1958">
        <w:t xml:space="preserve">Các </w:t>
      </w:r>
      <w:r w:rsidR="00381FE0" w:rsidRPr="004E1958">
        <w:t>b</w:t>
      </w:r>
      <w:r w:rsidRPr="004E1958">
        <w:t>ộ, cơ quan trung ương, địa phương chịu trách nhiệm sắp xếp thứ tự ưu tiên các dự án trong phương án bố trí vốn đầu tư trung hạn và hằng năm phù hợp với khả năng cân đối vốn và định hướng ưu tiên phát triển của ngành, lĩnh vực, địa phương mình.</w:t>
      </w:r>
    </w:p>
    <w:bookmarkEnd w:id="12"/>
    <w:p w14:paraId="02D2157F" w14:textId="77777777" w:rsidR="00661374" w:rsidRPr="004E1958" w:rsidRDefault="00661374">
      <w:r w:rsidRPr="004E1958">
        <w:t>3. Về bố trí vốn để thanh toán nợ đọng xây dựng cơ bản và hoàn trả vốn ứng trước:</w:t>
      </w:r>
    </w:p>
    <w:p w14:paraId="02D21580" w14:textId="284AE6AB" w:rsidR="00661374" w:rsidRPr="004E1958" w:rsidRDefault="00661374">
      <w:r w:rsidRPr="004E1958">
        <w:t xml:space="preserve">- Các </w:t>
      </w:r>
      <w:r w:rsidR="001A3B5C" w:rsidRPr="004E1958">
        <w:t>b</w:t>
      </w:r>
      <w:r w:rsidRPr="004E1958">
        <w:t xml:space="preserve">ộ, cơ quan trung ương, địa phương nếu vẫn còn </w:t>
      </w:r>
      <w:r w:rsidR="00D87AD6" w:rsidRPr="00D87AD6">
        <w:t>nợ đọng xây dựng cơ bản phát sinh trước</w:t>
      </w:r>
      <w:r w:rsidR="00D87AD6">
        <w:t xml:space="preserve"> ngày </w:t>
      </w:r>
      <w:r w:rsidR="00D87AD6" w:rsidRPr="00D87AD6">
        <w:t xml:space="preserve">ngày 01 tháng 01 năm 2015 </w:t>
      </w:r>
      <w:r w:rsidRPr="004E1958">
        <w:t>và số vốn ứng trước</w:t>
      </w:r>
      <w:r w:rsidR="001949AE" w:rsidRPr="004E1958">
        <w:t xml:space="preserve"> chưa </w:t>
      </w:r>
      <w:r w:rsidR="001949AE" w:rsidRPr="004E1958">
        <w:lastRenderedPageBreak/>
        <w:t>có nguồn để thanh toán trong kế hoạch trung hạn giai đoạn trước</w:t>
      </w:r>
      <w:r w:rsidRPr="004E1958">
        <w:t xml:space="preserve">, phải bố trí đủ vốn kế hoạch đầu tư trung hạn trong từng ngành, lĩnh vực để thanh toán dứt điểm nợ đọng xây dựng cơ bản và thu hồi </w:t>
      </w:r>
      <w:r w:rsidR="00617748" w:rsidRPr="004E1958">
        <w:t>dứt điểm</w:t>
      </w:r>
      <w:r w:rsidRPr="004E1958">
        <w:t xml:space="preserve"> các khoản ứng trước; phần còn lại bố trí theo thứ tự ưu tiên quy định tại khoản 2 Mục II của quy định này.</w:t>
      </w:r>
    </w:p>
    <w:p w14:paraId="02D21581" w14:textId="7A9A54B3" w:rsidR="00661374" w:rsidRPr="004E1958" w:rsidRDefault="001949AE">
      <w:r w:rsidRPr="004E1958">
        <w:t xml:space="preserve">- </w:t>
      </w:r>
      <w:r w:rsidR="00661374" w:rsidRPr="004E1958">
        <w:t>Trong quá trình điều hành</w:t>
      </w:r>
      <w:r w:rsidRPr="004E1958">
        <w:t>,</w:t>
      </w:r>
      <w:r w:rsidR="00661374" w:rsidRPr="004E1958">
        <w:t xml:space="preserve"> nếu có tăng thu</w:t>
      </w:r>
      <w:r w:rsidR="00FE2C44" w:rsidRPr="004E1958">
        <w:t>, tiết kiệm chi</w:t>
      </w:r>
      <w:r w:rsidR="00661374" w:rsidRPr="004E1958">
        <w:t xml:space="preserve"> ngân sách trung ương, Bộ Tài chính chủ trì, phối hợp với Bộ Kế hoạch và Đầu tư ưu tiên bố trí vốn ngân sách trung ương để </w:t>
      </w:r>
      <w:r w:rsidR="00CF4CAB" w:rsidRPr="004E1958">
        <w:t xml:space="preserve">thanh toán dứt điểm nợ đọng xây dựng cơ bản, </w:t>
      </w:r>
      <w:r w:rsidR="00661374" w:rsidRPr="004E1958">
        <w:t xml:space="preserve">thu hồi dứt điểm các khoản ứng trước của Bộ, </w:t>
      </w:r>
      <w:r w:rsidR="00A708B0" w:rsidRPr="004E1958">
        <w:t>cơ quan</w:t>
      </w:r>
      <w:r w:rsidR="00661374" w:rsidRPr="004E1958">
        <w:t xml:space="preserve"> trung ương; Ủy ban nhân dân cấp tỉnh báo cáo Hội đồng nhân dân cùng cấp sử dụng một phần số tăng thu cân đối ngân sách địa phương để </w:t>
      </w:r>
      <w:r w:rsidR="00CF4CAB" w:rsidRPr="004E1958">
        <w:t xml:space="preserve">thanh toán nợ đọng xây dựng cơ bản </w:t>
      </w:r>
      <w:r w:rsidR="00661374" w:rsidRPr="004E1958">
        <w:t>hoàn trả các khoản vốn ứng trước</w:t>
      </w:r>
      <w:r w:rsidR="00CF4CAB" w:rsidRPr="004E1958">
        <w:t xml:space="preserve"> của địa phương</w:t>
      </w:r>
      <w:r w:rsidR="00661374" w:rsidRPr="004E1958">
        <w:t xml:space="preserve">; sau khi thanh toán dứt điểm số nợ đọng xây dựng cơ bản và </w:t>
      </w:r>
      <w:r w:rsidR="00D87AD6">
        <w:t xml:space="preserve">thu hồi vốn </w:t>
      </w:r>
      <w:r w:rsidR="00661374" w:rsidRPr="004E1958">
        <w:t>ứng trước, mới được phép sử dụng số tăng thu còn lại để bố trí cho các dự án chuyển tiếp và các dự án khởi công mới.</w:t>
      </w:r>
    </w:p>
    <w:p w14:paraId="02D21582" w14:textId="27FA7F9D" w:rsidR="00A708B0" w:rsidRPr="004E1958" w:rsidRDefault="00A708B0">
      <w:r w:rsidRPr="004E1958">
        <w:t xml:space="preserve">4. Việc bố trí vốn nước ngoài (ODA) của </w:t>
      </w:r>
      <w:r w:rsidR="00355A2E" w:rsidRPr="004E1958">
        <w:t>b</w:t>
      </w:r>
      <w:r w:rsidRPr="004E1958">
        <w:t>ộ, cơ quan trung ương và địa phương thực hiện theo nguyên tắc sau:</w:t>
      </w:r>
    </w:p>
    <w:p w14:paraId="55AEDBD7" w14:textId="5D1020A9" w:rsidR="00EB511A" w:rsidRPr="004E1958" w:rsidRDefault="00EB511A">
      <w:r w:rsidRPr="004E1958">
        <w:t>-</w:t>
      </w:r>
      <w:r w:rsidRPr="004E1958">
        <w:tab/>
        <w:t>Ưu tiên bố trí cho các chương trình, dự án sử dụng vốn ODA và vốn vay ưu đãi của các nhà tài trợ nước ngoài đang thực hiện, chuyển tiếp; các chương trình, dự án đã ký k</w:t>
      </w:r>
      <w:r w:rsidR="00745728" w:rsidRPr="004E1958">
        <w:t>ế</w:t>
      </w:r>
      <w:r w:rsidRPr="004E1958">
        <w:t xml:space="preserve">t hiệp định nhưng chưa được bố trí vốn trong kế hoạch trung hạn giai đoạn trước; các chương trình, dự án theo tiến độ phải hoàn thành trong kỳ kế hoạch 2021-2025. Rà soát, </w:t>
      </w:r>
      <w:r w:rsidR="00DE52C5" w:rsidRPr="004E1958">
        <w:t xml:space="preserve">nghiên cứu dừng ngay </w:t>
      </w:r>
      <w:r w:rsidRPr="004E1958">
        <w:t xml:space="preserve">các dự án đã ký kết hiệp định </w:t>
      </w:r>
      <w:r w:rsidR="00E96A30" w:rsidRPr="004E1958">
        <w:t>nhưng</w:t>
      </w:r>
      <w:r w:rsidRPr="004E1958">
        <w:t xml:space="preserve"> không có hiệu quả</w:t>
      </w:r>
      <w:r w:rsidR="00E96A30" w:rsidRPr="004E1958">
        <w:t xml:space="preserve"> để đảm bảo sử dụng hiệu quả các nguồn vốn vay.</w:t>
      </w:r>
    </w:p>
    <w:p w14:paraId="02D21584" w14:textId="07F8DDB0" w:rsidR="00A708B0" w:rsidRPr="004E1958" w:rsidRDefault="00A708B0">
      <w:r w:rsidRPr="004E1958">
        <w:t xml:space="preserve">- Đối với các dự án khởi công mới trong giai đoạn </w:t>
      </w:r>
      <w:r w:rsidR="00863E8B" w:rsidRPr="004E1958">
        <w:t>2021-2025</w:t>
      </w:r>
      <w:r w:rsidRPr="004E1958">
        <w:t xml:space="preserve"> phải kiểm soát chặt chẽ về sự cần thiết, chỉ thực hiện các dự án thực sự hiệu quả; phải phù hợp với khả năng</w:t>
      </w:r>
      <w:r w:rsidR="00580E30" w:rsidRPr="004E1958">
        <w:t xml:space="preserve"> cân đối và</w:t>
      </w:r>
      <w:r w:rsidRPr="004E1958">
        <w:t xml:space="preserve"> giải ngân vốn ODA </w:t>
      </w:r>
      <w:r w:rsidR="00580E30" w:rsidRPr="004E1958">
        <w:t xml:space="preserve">và vốn vay ưu đãi của các nhà tài trợ nước ngoài </w:t>
      </w:r>
      <w:r w:rsidRPr="004E1958">
        <w:t>theo các Hiệp định đã ký kết với nhà tài trợ</w:t>
      </w:r>
      <w:r w:rsidR="00590DB7" w:rsidRPr="004E1958">
        <w:t>,</w:t>
      </w:r>
      <w:r w:rsidRPr="004E1958">
        <w:t xml:space="preserve"> </w:t>
      </w:r>
      <w:r w:rsidR="00590DB7" w:rsidRPr="004E1958">
        <w:t>kế hoạch đầu tư công trung hạn và hàng năm</w:t>
      </w:r>
      <w:r w:rsidR="000A7FC7" w:rsidRPr="004E1958">
        <w:t xml:space="preserve"> theo quy định</w:t>
      </w:r>
      <w:r w:rsidRPr="004E1958">
        <w:t>.</w:t>
      </w:r>
    </w:p>
    <w:p w14:paraId="480DC1C3" w14:textId="26E94871" w:rsidR="005E6010" w:rsidRPr="004E1958" w:rsidRDefault="00863E8B">
      <w:r w:rsidRPr="004E1958">
        <w:t xml:space="preserve">- Chủ động đàm phán với nhà tài trợ về tiến độ, thời gian ký kết hiệp định phù hợp với khả năng cân đối vốn của kế hoạch trung hạn giai đoạn 2021-2025 của </w:t>
      </w:r>
      <w:r w:rsidR="00AE2C8C" w:rsidRPr="004E1958">
        <w:t>b</w:t>
      </w:r>
      <w:r w:rsidRPr="004E1958">
        <w:t>ộ, cơ quan trung ương và địa phương mình, không để xảy ra tình trạng dự án được ký kết hiệp định nhưng không đưa được vào danh mục kế hoạch đầu tư công trung hạn.</w:t>
      </w:r>
    </w:p>
    <w:p w14:paraId="11DFECF5" w14:textId="77777777" w:rsidR="0025549A" w:rsidRDefault="0025549A" w:rsidP="0025549A">
      <w:pPr>
        <w:rPr>
          <w:b/>
          <w:sz w:val="24"/>
        </w:rPr>
      </w:pPr>
      <w:bookmarkStart w:id="13" w:name="muc_3"/>
    </w:p>
    <w:p w14:paraId="02D21586" w14:textId="6BD97EBC" w:rsidR="00AF36DC" w:rsidRPr="004E1958" w:rsidRDefault="00AF36DC">
      <w:pPr>
        <w:rPr>
          <w:b/>
          <w:sz w:val="24"/>
        </w:rPr>
      </w:pPr>
      <w:r w:rsidRPr="004E1958">
        <w:rPr>
          <w:b/>
          <w:sz w:val="24"/>
        </w:rPr>
        <w:t xml:space="preserve">III. NGUYÊN TẮC PHÂN BỔ VỐN </w:t>
      </w:r>
      <w:r w:rsidR="006E0CBA" w:rsidRPr="004E1958">
        <w:rPr>
          <w:b/>
          <w:sz w:val="24"/>
        </w:rPr>
        <w:t>ĐẦU TƯ CÔNG</w:t>
      </w:r>
      <w:r w:rsidRPr="004E1958">
        <w:rPr>
          <w:b/>
          <w:sz w:val="24"/>
        </w:rPr>
        <w:t xml:space="preserve"> NGUỒN NGÂN SÁCH TRUNG ƯƠNG</w:t>
      </w:r>
      <w:bookmarkEnd w:id="13"/>
    </w:p>
    <w:p w14:paraId="02D21587" w14:textId="77777777" w:rsidR="00AF36DC" w:rsidRPr="004E1958" w:rsidRDefault="00131A9D">
      <w:r w:rsidRPr="004E1958">
        <w:t>1. Nguyên tắc phân bổ vốn:</w:t>
      </w:r>
    </w:p>
    <w:p w14:paraId="02D21588" w14:textId="77777777" w:rsidR="00131A9D" w:rsidRPr="004E1958" w:rsidRDefault="00131A9D">
      <w:r w:rsidRPr="004E1958">
        <w:lastRenderedPageBreak/>
        <w:t xml:space="preserve">Thực hiện theo các nội dung </w:t>
      </w:r>
      <w:r w:rsidR="00AB7405" w:rsidRPr="004E1958">
        <w:t xml:space="preserve">quy định tại Điều 51 Luật Đầu tư công, tại Mục II của Quy định này </w:t>
      </w:r>
      <w:r w:rsidRPr="004E1958">
        <w:t>về các nguyên tắc chung và thứ tự ưu tiên phân bổ vốn và các nguyên tắc cụ thể sau:</w:t>
      </w:r>
    </w:p>
    <w:p w14:paraId="02D21589" w14:textId="2B097E25" w:rsidR="00AB7405" w:rsidRPr="004E1958" w:rsidRDefault="00AB7405">
      <w:r w:rsidRPr="004E1958">
        <w:t xml:space="preserve">- Bảo đảm tương quan hợp lý về cơ cấu phân bổ vốn đầu tư cho các </w:t>
      </w:r>
      <w:r w:rsidR="00B05420" w:rsidRPr="004E1958">
        <w:t>b</w:t>
      </w:r>
      <w:r w:rsidRPr="004E1958">
        <w:t>ộ, cơ quan trung ương; vốn ngân sách trung ương bổ sung có mục tiêu cho địa phương; vốn để thực hiện các nhiệm vụ, dự án cụ thể bao gồm: chương trình mục tiêu quốc gia, dự án quan trọng quốc gia, dự án kết nối</w:t>
      </w:r>
      <w:r w:rsidR="0091462E" w:rsidRPr="004E1958">
        <w:t>, có tác động</w:t>
      </w:r>
      <w:r w:rsidRPr="004E1958">
        <w:t xml:space="preserve"> liên vùng, dự án có ý nghĩa thúc đẩy phát triển kinh tế - xã hội nhanh, bền vững của cả nước và của các cấp, các ngành, các chính sách khác sử dụng vốn đầu tư công nguồn ngân sách trung ương theo quy định của pháp luật;</w:t>
      </w:r>
    </w:p>
    <w:p w14:paraId="02D2158A" w14:textId="73697C28" w:rsidR="009E1B7D" w:rsidRPr="004E1958" w:rsidRDefault="009E1B7D">
      <w:r w:rsidRPr="004E1958">
        <w:t xml:space="preserve">- Vốn đầu tư của các </w:t>
      </w:r>
      <w:r w:rsidR="00121E10" w:rsidRPr="004E1958">
        <w:t>b</w:t>
      </w:r>
      <w:r w:rsidRPr="004E1958">
        <w:t>ộ, cơ quan trung ương, địa phương được phân bổ theo ngành, lĩnh vực theo quy định tại Mục I của Quy định này</w:t>
      </w:r>
      <w:r w:rsidR="00FF06FF" w:rsidRPr="004E1958">
        <w:t>;</w:t>
      </w:r>
    </w:p>
    <w:p w14:paraId="01652C6B" w14:textId="0BAF6866" w:rsidR="00330AE5" w:rsidRPr="004E1958" w:rsidRDefault="00330AE5">
      <w:r w:rsidRPr="004E1958">
        <w:t>- Vốn ngân sách trung ương bổ sung có mục tiêu cho địa phương chỉ được bố trí cho các dự án có quy mô nhóm B trở lên</w:t>
      </w:r>
      <w:r w:rsidR="00160822" w:rsidRPr="004E1958">
        <w:t xml:space="preserve">. Trường hợp </w:t>
      </w:r>
      <w:r w:rsidR="00EF4D8C" w:rsidRPr="004E1958">
        <w:t>khác</w:t>
      </w:r>
      <w:r w:rsidR="00160822" w:rsidRPr="004E1958">
        <w:t xml:space="preserve"> do Thủ tướng Chính phủ quyết định</w:t>
      </w:r>
      <w:r w:rsidR="00EF4D8C" w:rsidRPr="004E1958">
        <w:t>;</w:t>
      </w:r>
    </w:p>
    <w:p w14:paraId="02D2158C" w14:textId="72ED83AA" w:rsidR="00AB7405" w:rsidRPr="004E1958" w:rsidRDefault="00AB7405">
      <w:r w:rsidRPr="004E1958">
        <w:t>- Các nhiệm vụ, chương trình, dự án được bố trí vốn phải đảm bảo đầy đủ các thủ tục đầu tư theo quy định của Luật Đầu tư công</w:t>
      </w:r>
      <w:r w:rsidR="00EF4D8C" w:rsidRPr="004E1958">
        <w:t>.</w:t>
      </w:r>
    </w:p>
    <w:p w14:paraId="02D2158D" w14:textId="2EDD864E" w:rsidR="00AB7405" w:rsidRPr="004E1958" w:rsidRDefault="00023266">
      <w:r w:rsidRPr="004E1958">
        <w:t>2. Cơ cấu phân bổ vốn:</w:t>
      </w:r>
    </w:p>
    <w:p w14:paraId="02D2158E" w14:textId="77777777" w:rsidR="00023266" w:rsidRPr="004E1958" w:rsidRDefault="00023266">
      <w:r w:rsidRPr="004E1958">
        <w:t>a) Đối với vốn ngân sách trung ương phần trong nước:</w:t>
      </w:r>
    </w:p>
    <w:p w14:paraId="02D2158F" w14:textId="77777777" w:rsidR="00023266" w:rsidRPr="004E1958" w:rsidRDefault="00023266">
      <w:r w:rsidRPr="004E1958">
        <w:t>- Dành tối đa không quá 30% để phân bổ theo ngành, lĩnh vực cho các Bộ, cơ quan trung ương. Các Bộ, cơ quan trung ương chịu trách nhiệm bố trí cụ thể cho các chương trình, dự án đúng quy định pháp luật thuộc các ngành, lĩnh vực</w:t>
      </w:r>
      <w:r w:rsidR="00412408" w:rsidRPr="004E1958">
        <w:t xml:space="preserve"> theo các nguyên tắc, thứ tự ưu tiên của Quy định này</w:t>
      </w:r>
      <w:r w:rsidRPr="004E1958">
        <w:t>.</w:t>
      </w:r>
    </w:p>
    <w:p w14:paraId="02D21590" w14:textId="01C779F2" w:rsidR="009E1B7D" w:rsidRPr="004E1958" w:rsidRDefault="00FF06FF">
      <w:r w:rsidRPr="004E1958">
        <w:t>- Dành tối đa không quá 30% để bổ sung có mục tiêu cho địa phương và phân bổ theo ngành, lĩnh vực. Các địa phương chịu trách nhiệm bố trí vốn cụ thể cho các chương trình, dự án đúng quy định pháp luật thuộc các ngành, lĩnh vực</w:t>
      </w:r>
      <w:r w:rsidR="00412408" w:rsidRPr="004E1958">
        <w:t xml:space="preserve"> theo các nguyên tắc, thứ tự ưu tiên của Quy định này</w:t>
      </w:r>
      <w:r w:rsidR="00EF4D8C" w:rsidRPr="004E1958">
        <w:t>;</w:t>
      </w:r>
    </w:p>
    <w:p w14:paraId="02D21591" w14:textId="67226CCF" w:rsidR="009E1B7D" w:rsidRPr="004E1958" w:rsidRDefault="00FF06FF">
      <w:r w:rsidRPr="004E1958">
        <w:t xml:space="preserve">- Dành </w:t>
      </w:r>
      <w:r w:rsidR="00B5124E" w:rsidRPr="004E1958">
        <w:t>khoảng</w:t>
      </w:r>
      <w:r w:rsidRPr="004E1958">
        <w:t xml:space="preserve"> 30% để phân bổ cho các nhiệm vụ,</w:t>
      </w:r>
      <w:r w:rsidR="00DB545A" w:rsidRPr="004E1958">
        <w:t xml:space="preserve"> chương trình</w:t>
      </w:r>
      <w:r w:rsidRPr="004E1958">
        <w:t xml:space="preserve"> dự án cụ thể bao gồm: chương trình mục tiêu quốc gia, dự án quan trọng quốc gia, dự án kết nối</w:t>
      </w:r>
      <w:r w:rsidR="00A117A9" w:rsidRPr="004E1958">
        <w:t>, có tác động</w:t>
      </w:r>
      <w:r w:rsidRPr="004E1958">
        <w:t xml:space="preserve"> liên vùng, dự án có ý nghĩa thúc đẩy phát triển kinh tế - xã hội nhanh, bền vững của cả nước và của các cấp, các ngành,</w:t>
      </w:r>
      <w:r w:rsidR="002B02E1" w:rsidRPr="004E1958">
        <w:t xml:space="preserve"> </w:t>
      </w:r>
      <w:r w:rsidR="00A117A9" w:rsidRPr="004E1958">
        <w:t>nhiệm vụ quy hoạch tổng thể quốc gia, quy hoạch không gian biển quốc gia, quy hoạch sử dụng đất quốc gia, quy hoạch vùng</w:t>
      </w:r>
      <w:r w:rsidR="002B02E1" w:rsidRPr="004E1958">
        <w:t>,</w:t>
      </w:r>
      <w:r w:rsidRPr="004E1958">
        <w:t xml:space="preserve"> các chính sách khác sử dụng vốn đầu tư công nguồn ngân sách trung ương theo quy định của pháp luật;</w:t>
      </w:r>
    </w:p>
    <w:p w14:paraId="02D21592" w14:textId="62243751" w:rsidR="009E1B7D" w:rsidRPr="004E1958" w:rsidRDefault="00FF06FF">
      <w:r w:rsidRPr="004E1958">
        <w:lastRenderedPageBreak/>
        <w:t>- Số vốn chưa phân bổ còn lại để xử lý các vấn đề phát sinh</w:t>
      </w:r>
      <w:r w:rsidR="004479F1" w:rsidRPr="004E1958">
        <w:t>, dự án khẩn cấp</w:t>
      </w:r>
      <w:r w:rsidRPr="004E1958">
        <w:t xml:space="preserve"> trong quá trình điều hành kế hoạch đầu tư trung hạn.</w:t>
      </w:r>
    </w:p>
    <w:p w14:paraId="02D21593" w14:textId="77777777" w:rsidR="009E1B7D" w:rsidRPr="004E1958" w:rsidRDefault="00AB7DD1">
      <w:r w:rsidRPr="004E1958">
        <w:t>b) Đối với vốn ngân sách trung ương phần nước ngoài (ODA):</w:t>
      </w:r>
    </w:p>
    <w:p w14:paraId="02D21594" w14:textId="236935D3" w:rsidR="00652462" w:rsidRPr="004E1958" w:rsidRDefault="00652462">
      <w:r w:rsidRPr="004E1958">
        <w:t xml:space="preserve">- Phân bổ trên cơ sở định hướng sử dụng vốn ODA </w:t>
      </w:r>
      <w:r w:rsidR="00FE5C3A" w:rsidRPr="004E1958">
        <w:t xml:space="preserve">và vốn vay ưu đãi của các nhà tài trợ nước ngoài </w:t>
      </w:r>
      <w:r w:rsidRPr="004E1958">
        <w:t xml:space="preserve">trong giai đoạn 2021-2025, nhu cầu của các </w:t>
      </w:r>
      <w:r w:rsidR="00FE5C3A" w:rsidRPr="004E1958">
        <w:t>b</w:t>
      </w:r>
      <w:r w:rsidRPr="004E1958">
        <w:t>ộ, cơ quan trung ương, địa phương đối với các dự án đang triển kha</w:t>
      </w:r>
      <w:r w:rsidR="00FE5C3A" w:rsidRPr="004E1958">
        <w:t>i</w:t>
      </w:r>
      <w:r w:rsidRPr="004E1958">
        <w:t xml:space="preserve">, </w:t>
      </w:r>
      <w:r w:rsidR="00C53AF9" w:rsidRPr="004E1958">
        <w:t xml:space="preserve">chuyển tiếp, </w:t>
      </w:r>
      <w:r w:rsidRPr="004E1958">
        <w:t>các dự án đã ký hiệp định.</w:t>
      </w:r>
    </w:p>
    <w:p w14:paraId="02D21595" w14:textId="6B39B578" w:rsidR="00BD1B98" w:rsidRPr="004E1958" w:rsidRDefault="00652462">
      <w:r w:rsidRPr="004E1958">
        <w:t xml:space="preserve">- Số vốn còn lại chưa phân bổ để phục vụ cho việc làm thủ tục phê duyệt </w:t>
      </w:r>
      <w:r w:rsidR="00575EF3" w:rsidRPr="004E1958">
        <w:t xml:space="preserve">quyết định </w:t>
      </w:r>
      <w:r w:rsidRPr="004E1958">
        <w:t xml:space="preserve">chủ trương đầu tư các chương trình, dự án mới sử dụng vốn ODA </w:t>
      </w:r>
      <w:r w:rsidR="00575EF3" w:rsidRPr="004E1958">
        <w:t xml:space="preserve">và vốn vay ưu đãi của các nhà tài trợ nước ngoài </w:t>
      </w:r>
      <w:r w:rsidRPr="004E1958">
        <w:t>dự kiến bổ sung vào kế hoạch trung hạn</w:t>
      </w:r>
      <w:r w:rsidR="00575EF3" w:rsidRPr="004E1958">
        <w:t xml:space="preserve"> giai đoạn 2021-2025</w:t>
      </w:r>
      <w:r w:rsidRPr="004E1958">
        <w:t xml:space="preserve">, bổ sung các dự án sử dụng vốn ODA không hoàn lại phát sinh trong kế hoạch trung hạn. </w:t>
      </w:r>
    </w:p>
    <w:p w14:paraId="02D21596" w14:textId="73E78EE7" w:rsidR="00962215" w:rsidRPr="004E1958" w:rsidRDefault="00962215">
      <w:pPr>
        <w:rPr>
          <w:b/>
          <w:sz w:val="24"/>
        </w:rPr>
      </w:pPr>
      <w:r w:rsidRPr="004E1958">
        <w:rPr>
          <w:b/>
          <w:sz w:val="24"/>
        </w:rPr>
        <w:t xml:space="preserve">IV. NGUYÊN TẮC PHÂN BỔ VỐN </w:t>
      </w:r>
      <w:r w:rsidR="006E0CBA" w:rsidRPr="004E1958">
        <w:rPr>
          <w:b/>
          <w:sz w:val="24"/>
        </w:rPr>
        <w:t>ĐẦU TƯ CÔNG</w:t>
      </w:r>
      <w:r w:rsidRPr="004E1958">
        <w:rPr>
          <w:b/>
          <w:sz w:val="24"/>
        </w:rPr>
        <w:t xml:space="preserve"> NGUỒN NGÂN SÁCH </w:t>
      </w:r>
      <w:r w:rsidR="005C214E" w:rsidRPr="004E1958">
        <w:rPr>
          <w:b/>
          <w:sz w:val="24"/>
        </w:rPr>
        <w:t>TRUNG ƯƠNG</w:t>
      </w:r>
      <w:r w:rsidRPr="004E1958">
        <w:rPr>
          <w:b/>
          <w:sz w:val="24"/>
        </w:rPr>
        <w:t xml:space="preserve"> CHO BỘ, CƠ QUAN TRUNG ƯƠNG</w:t>
      </w:r>
      <w:r w:rsidR="003C6FC9" w:rsidRPr="004E1958">
        <w:rPr>
          <w:b/>
          <w:sz w:val="24"/>
        </w:rPr>
        <w:t xml:space="preserve"> (PHẦN VỐN TRONG NƯỚC)</w:t>
      </w:r>
    </w:p>
    <w:p w14:paraId="02D21597" w14:textId="71E9C3C8" w:rsidR="00962215" w:rsidRPr="004E1958" w:rsidRDefault="00962215">
      <w:r w:rsidRPr="004E1958">
        <w:t xml:space="preserve">1. Bộ, cơ quan trung ương được bố trí vốn </w:t>
      </w:r>
      <w:r w:rsidR="006E0CBA" w:rsidRPr="004E1958">
        <w:t>đầu tư công</w:t>
      </w:r>
      <w:r w:rsidRPr="004E1958">
        <w:t xml:space="preserve"> nguồn ngân sách nhà nước gồm:</w:t>
      </w:r>
    </w:p>
    <w:p w14:paraId="02D21598" w14:textId="77777777" w:rsidR="00962215" w:rsidRPr="004E1958" w:rsidRDefault="00962215">
      <w:r w:rsidRPr="004E1958">
        <w:t>- Cơ quan trung ương của tổ chức chính trị.</w:t>
      </w:r>
    </w:p>
    <w:p w14:paraId="02D21599" w14:textId="77777777" w:rsidR="00962215" w:rsidRPr="00DE691A" w:rsidRDefault="00962215">
      <w:pPr>
        <w:rPr>
          <w:spacing w:val="-4"/>
        </w:rPr>
      </w:pPr>
      <w:r w:rsidRPr="00DE691A">
        <w:rPr>
          <w:spacing w:val="-4"/>
        </w:rPr>
        <w:t>- Cơ quan tư pháp (Viện Kiểm sát nhân dân tối cao, Tòa án nhân dân tối cao).</w:t>
      </w:r>
    </w:p>
    <w:p w14:paraId="02D2159A" w14:textId="77777777" w:rsidR="00962215" w:rsidRPr="004E1958" w:rsidRDefault="00962215">
      <w:r w:rsidRPr="004E1958">
        <w:t>- Kiểm toán Nhà nước.</w:t>
      </w:r>
    </w:p>
    <w:p w14:paraId="02D2159B" w14:textId="77777777" w:rsidR="00962215" w:rsidRPr="004E1958" w:rsidRDefault="00962215">
      <w:r w:rsidRPr="004E1958">
        <w:t>- Văn phòng Chủ tịch nước.</w:t>
      </w:r>
    </w:p>
    <w:p w14:paraId="02D2159C" w14:textId="77777777" w:rsidR="00962215" w:rsidRPr="004E1958" w:rsidRDefault="00962215">
      <w:r w:rsidRPr="004E1958">
        <w:t>- Văn phòng Quốc hội.</w:t>
      </w:r>
    </w:p>
    <w:p w14:paraId="02D2159D" w14:textId="7CD85739" w:rsidR="00962215" w:rsidRPr="004E1958" w:rsidRDefault="00962215">
      <w:r w:rsidRPr="004E1958">
        <w:t>- Bộ, cơ quan ngang Bộ và các cơ quan trực thuộc Chính phủ.</w:t>
      </w:r>
    </w:p>
    <w:p w14:paraId="12972C35" w14:textId="48ADF539" w:rsidR="00916F74" w:rsidRPr="004E1958" w:rsidRDefault="00916F74">
      <w:r w:rsidRPr="004E1958">
        <w:t>- Đại học Quốc gia Hà Nội, Đại học Quốc gia Thành phố Hồ Chí Minh.</w:t>
      </w:r>
    </w:p>
    <w:p w14:paraId="02D2159E" w14:textId="06E32DCC" w:rsidR="00962215" w:rsidRPr="004E1958" w:rsidRDefault="00962215">
      <w:r w:rsidRPr="004E1958">
        <w:t>- Cơ quan trung ương của Mặt trận Tổ quốc Việt Nam và tổ chức chính trị - xã hội, các tổ chức xã hội, hiệp hội và các tổ chức phi chính phủ khác,</w:t>
      </w:r>
      <w:r w:rsidR="00403DDF" w:rsidRPr="004E1958">
        <w:t xml:space="preserve"> </w:t>
      </w:r>
      <w:r w:rsidRPr="004E1958">
        <w:t>các tập đoàn, tổng công ty Nhà nước, Ngân hàng Phát triển Việt Nam, Ngân hàng Chính sách Xã hội</w:t>
      </w:r>
      <w:r w:rsidR="00D81FD4" w:rsidRPr="004E1958">
        <w:t>, các ngân hàng thương mại được chỉ định thực hiện chính sách được cấp có thẩm quyền quyết định.</w:t>
      </w:r>
    </w:p>
    <w:p w14:paraId="02D2159F" w14:textId="6EA5923B" w:rsidR="00962215" w:rsidRPr="004E1958" w:rsidRDefault="00962215">
      <w:r w:rsidRPr="004E1958">
        <w:t>2. Nguyên tắc phân bổ vốn</w:t>
      </w:r>
    </w:p>
    <w:p w14:paraId="02D215A0" w14:textId="5AAB38CE" w:rsidR="00962215" w:rsidRPr="004E1958" w:rsidRDefault="00CB5FDB">
      <w:r w:rsidRPr="004E1958">
        <w:t xml:space="preserve">Phải bảo đảm phù hợp với các quy định của Luật đầu tư công, Luật ngân sách nhà nước. </w:t>
      </w:r>
      <w:r w:rsidR="00962215" w:rsidRPr="004E1958">
        <w:t xml:space="preserve">Thực hiện theo các nội dung của Mục III Quy định này về nguyên tắc phân bổ vốn </w:t>
      </w:r>
      <w:r w:rsidR="006E0CBA" w:rsidRPr="004E1958">
        <w:t>đầu tư công</w:t>
      </w:r>
      <w:r w:rsidR="00962215" w:rsidRPr="004E1958">
        <w:t xml:space="preserve"> nguồn ngân sách trung ương và các nguyên tắc cụ thể sau:</w:t>
      </w:r>
    </w:p>
    <w:p w14:paraId="02D215A1" w14:textId="2E727909" w:rsidR="00962215" w:rsidRPr="004E1958" w:rsidRDefault="00962215">
      <w:r w:rsidRPr="004E1958">
        <w:lastRenderedPageBreak/>
        <w:t xml:space="preserve">- Việc phân bổ vốn theo ngành, lĩnh vực cho các </w:t>
      </w:r>
      <w:r w:rsidR="00BD6E1F" w:rsidRPr="004E1958">
        <w:t>b</w:t>
      </w:r>
      <w:r w:rsidRPr="004E1958">
        <w:t>ộ, cơ quan trung ương phải nhằm thực hiện các mục tiêu chiến lược, quy hoạch và kế hoạch phát triển kinh tế - xã hội 5 năm và hằng năm của cả nước và các ngành, lĩnh vực của nền kinh tế.</w:t>
      </w:r>
    </w:p>
    <w:p w14:paraId="02D215A2" w14:textId="77777777" w:rsidR="00962215" w:rsidRPr="004E1958" w:rsidRDefault="00962215">
      <w:r w:rsidRPr="004E1958">
        <w:t>- Phù hợp với khả năng cân đối của ngân sách nhà nước và huy động các nguồn vốn khác.</w:t>
      </w:r>
    </w:p>
    <w:p w14:paraId="02D215A3" w14:textId="4F4B3DE2" w:rsidR="00962215" w:rsidRPr="004E1958" w:rsidRDefault="00962215">
      <w:r w:rsidRPr="004E1958">
        <w:t>- Việc phân bổ vốn cho dự án phải bảo đảm dự án đã có trong quy hoạch</w:t>
      </w:r>
      <w:r w:rsidR="00084F72" w:rsidRPr="004E1958">
        <w:t xml:space="preserve"> có liên quan theo quy định của pháp luật về quy hoạch đã được cấp có thẩm quyền quyết định phê duyệt</w:t>
      </w:r>
      <w:r w:rsidRPr="004E1958">
        <w:t xml:space="preserve"> và có đầy đủ thủ tục đầu tư theo quy định.</w:t>
      </w:r>
    </w:p>
    <w:p w14:paraId="02D215A4" w14:textId="59E31582" w:rsidR="00962215" w:rsidRPr="004E1958" w:rsidRDefault="00962215">
      <w:r w:rsidRPr="004E1958">
        <w:t>- Đối với cơ quan trung ương của Mặt trận Tổ quốc Việt Nam và tổ chức chính trị - xã hội, các tổ chức xã hội, hiệp hội và các tổ chức phi chính phủ khác, các tập đoàn, tổng công ty Nhà nước, Thủ tướng Chính phủ quyết định việc giao nhiệm vụ, hoặc đặt hàng thực hiện nhiệm vụ, dự án</w:t>
      </w:r>
      <w:r w:rsidR="00665FA5" w:rsidRPr="004E1958">
        <w:t>, làm cơ sở để phân bổ</w:t>
      </w:r>
      <w:r w:rsidRPr="004E1958">
        <w:t xml:space="preserve"> vốn đầu tư nguồn ngân sách trung ương theo quy định của Luật </w:t>
      </w:r>
      <w:r w:rsidR="00391C4D" w:rsidRPr="004E1958">
        <w:t>Đ</w:t>
      </w:r>
      <w:r w:rsidRPr="004E1958">
        <w:t>ầu tư công. Việc phân ngành, lĩnh vực, chương trình của các dự án do các cơ quan nêu trên quản lý theo quy định tại Quyết định này.</w:t>
      </w:r>
    </w:p>
    <w:p w14:paraId="02D215A5" w14:textId="3C8AAC07" w:rsidR="00FF03F6" w:rsidRPr="004E1958" w:rsidRDefault="00FF03F6">
      <w:pPr>
        <w:rPr>
          <w:b/>
          <w:sz w:val="24"/>
        </w:rPr>
      </w:pPr>
      <w:bookmarkStart w:id="14" w:name="muc_4"/>
      <w:r w:rsidRPr="004E1958">
        <w:rPr>
          <w:b/>
          <w:sz w:val="24"/>
        </w:rPr>
        <w:t>V. NGUYÊN TẮC, TIÊU CHÍ VÀ ĐỊNH MỨC PHÂN BỔ VỐN NGÂN SÁCH TRUNG ƯƠNG BỔ SUNG CÓ MỤC TIÊU CHO ĐỊA PHƯƠNG</w:t>
      </w:r>
      <w:bookmarkEnd w:id="14"/>
      <w:r w:rsidR="003C6FC9" w:rsidRPr="004E1958">
        <w:rPr>
          <w:b/>
          <w:sz w:val="24"/>
        </w:rPr>
        <w:t xml:space="preserve"> (PHẦN VỐN TRONG NƯỚC)</w:t>
      </w:r>
    </w:p>
    <w:p w14:paraId="02D215A6" w14:textId="0CF3C54D" w:rsidR="00FF03F6" w:rsidRPr="004E1958" w:rsidRDefault="00FF03F6">
      <w:r w:rsidRPr="004E1958">
        <w:t>1. Nguyên tắc phân bổ vốn</w:t>
      </w:r>
    </w:p>
    <w:p w14:paraId="02D215A7" w14:textId="5BEE02AD" w:rsidR="004C227D" w:rsidRPr="004E1958" w:rsidRDefault="004C227D">
      <w:r w:rsidRPr="004E1958">
        <w:t xml:space="preserve">Phải bảo đảm phù hợp với các quy định của Luật đầu tư công, Luật ngân sách nhà nước. Thực hiện theo các nội dung của Mục III Quy định này về nguyên tắc phân bổ vốn </w:t>
      </w:r>
      <w:r w:rsidR="006E0CBA" w:rsidRPr="004E1958">
        <w:t>đầu tư công</w:t>
      </w:r>
      <w:r w:rsidRPr="004E1958">
        <w:t xml:space="preserve"> nguồn ngân sách trung ương và các nguyên tắc cụ thể sau:</w:t>
      </w:r>
    </w:p>
    <w:p w14:paraId="02D215A8" w14:textId="2F8876B9" w:rsidR="00FF03F6" w:rsidRPr="004E1958" w:rsidRDefault="00FF03F6">
      <w:r w:rsidRPr="004E1958">
        <w:t>- Bảo đảm tương quan hợp lý giữa việc phát triển các vùng kinh tế trọng điểm, các địa phương có số thu lớn, có tỷ lệ điều tiết cao về ngân sách trung ương, với việc ưu tiên các vùng miền núi, biên giới, hải đảo, vùng đồng bào dân tộc thiểu số và các vùng khó khăn khác để góp phần thu hẹp dần khoảng cách về trình độ phát triển kinh tế, thu nhập và mức sống của dân cư giữa các vùng miền trong cả nước.</w:t>
      </w:r>
    </w:p>
    <w:p w14:paraId="02D215A9" w14:textId="4264EF7B" w:rsidR="00FF03F6" w:rsidRPr="004E1958" w:rsidRDefault="00FF03F6">
      <w:r w:rsidRPr="004E1958">
        <w:t xml:space="preserve">- Sử dụng có hiệu quả vốn đầu tư của ngân sách nhà nước, tạo điều kiện để thu hút tối đa các nguồn vốn khác cho </w:t>
      </w:r>
      <w:r w:rsidR="006E0CBA" w:rsidRPr="004E1958">
        <w:t xml:space="preserve">đầu tư </w:t>
      </w:r>
      <w:r w:rsidR="008815DD" w:rsidRPr="004E1958">
        <w:t>phát triển</w:t>
      </w:r>
      <w:r w:rsidRPr="004E1958">
        <w:t>.</w:t>
      </w:r>
    </w:p>
    <w:p w14:paraId="02D215AA" w14:textId="05FA5AA8" w:rsidR="00FF03F6" w:rsidRPr="004E1958" w:rsidRDefault="00FF03F6">
      <w:r w:rsidRPr="004E1958">
        <w:t xml:space="preserve">- Bảo đảm tính công khai, minh bạch, công bằng trong việc phân bổ vốn </w:t>
      </w:r>
      <w:r w:rsidR="006E0CBA" w:rsidRPr="004E1958">
        <w:t>đầu tư công</w:t>
      </w:r>
      <w:r w:rsidRPr="004E1958">
        <w:t>.</w:t>
      </w:r>
    </w:p>
    <w:p w14:paraId="02D215AB" w14:textId="77777777" w:rsidR="004C227D" w:rsidRPr="004E1958" w:rsidRDefault="00FF03F6">
      <w:r w:rsidRPr="004E1958">
        <w:t>2. Tiêu chí</w:t>
      </w:r>
      <w:r w:rsidR="00E628BC" w:rsidRPr="004E1958">
        <w:t xml:space="preserve"> phân bổ vốn</w:t>
      </w:r>
      <w:r w:rsidR="004C227D" w:rsidRPr="004E1958">
        <w:t>:</w:t>
      </w:r>
      <w:r w:rsidRPr="004E1958">
        <w:t xml:space="preserve"> </w:t>
      </w:r>
    </w:p>
    <w:p w14:paraId="02D215AC" w14:textId="2FEBCA79" w:rsidR="004C227D" w:rsidRPr="004E1958" w:rsidRDefault="006624E2">
      <w:r w:rsidRPr="004E1958">
        <w:lastRenderedPageBreak/>
        <w:t xml:space="preserve">Vốn ngân sách trung ương bổ sung có mục tiêu cho ngân sách địa phương được phân bổ theo ngành, lĩnh vực quy định tại Mục I </w:t>
      </w:r>
      <w:r w:rsidR="00ED3CCF" w:rsidRPr="004E1958">
        <w:t xml:space="preserve">và Mục III </w:t>
      </w:r>
      <w:r w:rsidRPr="004E1958">
        <w:t>của Quy định này và các tiêu chí cụ thể sau:</w:t>
      </w:r>
    </w:p>
    <w:p w14:paraId="1A7FF838" w14:textId="2F86E1DD" w:rsidR="0009649B" w:rsidRPr="004E1958" w:rsidRDefault="0009649B">
      <w:r w:rsidRPr="004E1958">
        <w:t xml:space="preserve">a) Thực hiện các </w:t>
      </w:r>
      <w:r w:rsidR="00ED3CCF" w:rsidRPr="004E1958">
        <w:t xml:space="preserve">nhiệm vụ, dự án thuộc các </w:t>
      </w:r>
      <w:r w:rsidRPr="004E1958">
        <w:t>chính sách</w:t>
      </w:r>
      <w:r w:rsidR="00ED3CCF" w:rsidRPr="004E1958">
        <w:t xml:space="preserve"> do </w:t>
      </w:r>
      <w:r w:rsidR="00A974B3" w:rsidRPr="004E1958">
        <w:t>Chính phủ, Thủ tướng Chính phủ</w:t>
      </w:r>
      <w:r w:rsidR="00ED3CCF" w:rsidRPr="004E1958">
        <w:t xml:space="preserve"> ban hành</w:t>
      </w:r>
      <w:r w:rsidRPr="004E1958">
        <w:t>;</w:t>
      </w:r>
    </w:p>
    <w:p w14:paraId="3A62349E" w14:textId="35D134DC" w:rsidR="0009649B" w:rsidRPr="004E1958" w:rsidRDefault="0009649B">
      <w:r w:rsidRPr="004E1958">
        <w:t xml:space="preserve">b) Thực hiện các chương trình, dự án khác của </w:t>
      </w:r>
      <w:r w:rsidR="00B413AA" w:rsidRPr="004E1958">
        <w:t>cấp có thẩm quyền</w:t>
      </w:r>
      <w:r w:rsidRPr="004E1958">
        <w:t xml:space="preserve"> giao cho </w:t>
      </w:r>
      <w:r w:rsidR="00B413AA" w:rsidRPr="004E1958">
        <w:t>địa phương</w:t>
      </w:r>
      <w:r w:rsidRPr="004E1958">
        <w:t xml:space="preserve"> thực hiện;</w:t>
      </w:r>
    </w:p>
    <w:p w14:paraId="648954AF" w14:textId="6EE4EB95" w:rsidR="0009649B" w:rsidRPr="004E1958" w:rsidRDefault="0009649B">
      <w:r w:rsidRPr="004E1958">
        <w:t xml:space="preserve">c) Hỗ trợ </w:t>
      </w:r>
      <w:r w:rsidR="00F218A6" w:rsidRPr="004E1958">
        <w:t>thực hiện các nhiệm vụ, dự án</w:t>
      </w:r>
      <w:r w:rsidRPr="004E1958">
        <w:t xml:space="preserve"> khắc phục thiên tai, thảm họa, dịch bệnh trên diện rộng vượt quá khả năng cân đối của ngân sách </w:t>
      </w:r>
      <w:r w:rsidR="00F218A6" w:rsidRPr="004E1958">
        <w:t>địa phương</w:t>
      </w:r>
      <w:r w:rsidRPr="004E1958">
        <w:t>;</w:t>
      </w:r>
    </w:p>
    <w:p w14:paraId="166CD2FF" w14:textId="76DF9D80" w:rsidR="000A55ED" w:rsidRPr="004E1958" w:rsidRDefault="0009649B">
      <w:r w:rsidRPr="004E1958">
        <w:t xml:space="preserve">d) Hỗ trợ thực hiện </w:t>
      </w:r>
      <w:r w:rsidR="00160822" w:rsidRPr="004E1958">
        <w:t>các</w:t>
      </w:r>
      <w:r w:rsidRPr="004E1958">
        <w:t xml:space="preserve"> chương trình, dự án có tác động đến phát triển kinh tế - xã hội của địa phương.</w:t>
      </w:r>
    </w:p>
    <w:p w14:paraId="02D215C8" w14:textId="51139BDD" w:rsidR="004C227D" w:rsidRPr="004E1958" w:rsidRDefault="00BD3B95">
      <w:r w:rsidRPr="004E1958">
        <w:t xml:space="preserve"> </w:t>
      </w:r>
      <w:r w:rsidR="00E628BC" w:rsidRPr="004E1958">
        <w:t>3. Định mức phân bổ vốn:</w:t>
      </w:r>
    </w:p>
    <w:p w14:paraId="02D215C9" w14:textId="054ED0E9" w:rsidR="004C227D" w:rsidRPr="004E1958" w:rsidRDefault="00E628BC">
      <w:r w:rsidRPr="004E1958">
        <w:t>Định mức phân bổ vốn</w:t>
      </w:r>
      <w:r w:rsidR="00CF0B91" w:rsidRPr="004E1958">
        <w:t xml:space="preserve"> ngân sách trung ương bổ sung có mục tiêu cho địa phương được xác định </w:t>
      </w:r>
      <w:r w:rsidR="009E055A" w:rsidRPr="004E1958">
        <w:t xml:space="preserve">như </w:t>
      </w:r>
      <w:r w:rsidR="00CF0B91" w:rsidRPr="004E1958">
        <w:t>sau:</w:t>
      </w:r>
    </w:p>
    <w:p w14:paraId="18916E34" w14:textId="7BF9262C" w:rsidR="00253507" w:rsidRPr="004E1958" w:rsidRDefault="00E01138">
      <w:r w:rsidRPr="004E1958">
        <w:t xml:space="preserve">(1) </w:t>
      </w:r>
      <w:r w:rsidR="005A776C" w:rsidRPr="004E1958">
        <w:t xml:space="preserve">Phân bổ đủ </w:t>
      </w:r>
      <w:r w:rsidR="00CA32BF" w:rsidRPr="004E1958">
        <w:t>số chi tiêu</w:t>
      </w:r>
      <w:r w:rsidR="0066708E" w:rsidRPr="004E1958">
        <w:t xml:space="preserve"> cơ sở cho các dự án</w:t>
      </w:r>
      <w:r w:rsidR="00F51C73" w:rsidRPr="004E1958">
        <w:t xml:space="preserve"> đầu tư công sử dụng ngân sách trung ương</w:t>
      </w:r>
      <w:r w:rsidR="0066708E" w:rsidRPr="004E1958">
        <w:t xml:space="preserve"> </w:t>
      </w:r>
      <w:r w:rsidR="00B527AE" w:rsidRPr="004E1958">
        <w:t>đang thực hiện của kế hoạch trung hạn giai đoạn 2016-2020</w:t>
      </w:r>
      <w:r w:rsidR="00543F20" w:rsidRPr="004E1958">
        <w:t xml:space="preserve"> chuyển tiếp thực hiện trong kế hoạch trung hạn giai đoạn 2021-2025</w:t>
      </w:r>
      <w:r w:rsidR="004E1958">
        <w:t>.</w:t>
      </w:r>
    </w:p>
    <w:p w14:paraId="52A1F7B0" w14:textId="2B84C8BB" w:rsidR="00C21620" w:rsidRPr="004E1958" w:rsidRDefault="00A80C1D">
      <w:r w:rsidRPr="004E1958">
        <w:t xml:space="preserve">(2) Phân bổ </w:t>
      </w:r>
      <w:r w:rsidR="00304C21" w:rsidRPr="004E1958">
        <w:t>số chi tiêu mới cho các dự án đầu tư công thuộc các ngành, lĩnh vực của địa phương</w:t>
      </w:r>
      <w:r w:rsidR="009E055A" w:rsidRPr="004E1958">
        <w:t xml:space="preserve"> trên cơ sở tính điểm của các tiêu chí sau:</w:t>
      </w:r>
    </w:p>
    <w:p w14:paraId="02D215CA" w14:textId="227C0F20" w:rsidR="00FF03F6" w:rsidRPr="004E1958" w:rsidRDefault="00FF03F6">
      <w:r w:rsidRPr="004E1958">
        <w:t>(</w:t>
      </w:r>
      <w:r w:rsidR="004E7007" w:rsidRPr="004E1958">
        <w:t>i</w:t>
      </w:r>
      <w:r w:rsidRPr="004E1958">
        <w:t>) Tiêu chí dân số: số dân trung bình</w:t>
      </w:r>
      <w:r w:rsidR="00826A14" w:rsidRPr="004E1958">
        <w:t xml:space="preserve"> và dân tộc thiểu số</w:t>
      </w:r>
      <w:r w:rsidRPr="004E1958">
        <w:t xml:space="preserve"> của các địa phương</w:t>
      </w:r>
      <w:r w:rsidR="00FD336C" w:rsidRPr="004E1958">
        <w:t xml:space="preserve"> (trừ Hà Nội và Thành phố Hồ Chí Minh)</w:t>
      </w:r>
      <w:r w:rsidRPr="004E1958">
        <w:t>.</w:t>
      </w:r>
    </w:p>
    <w:p w14:paraId="02D215CB" w14:textId="7C15F939" w:rsidR="00FF03F6" w:rsidRPr="004E1958" w:rsidRDefault="00FF03F6">
      <w:r w:rsidRPr="004E1958">
        <w:t>(</w:t>
      </w:r>
      <w:r w:rsidR="004E7007" w:rsidRPr="004E1958">
        <w:t>ii</w:t>
      </w:r>
      <w:r w:rsidRPr="004E1958">
        <w:t>) Tiêu chí về trình độ phát triển: tỷ lệ hộ nghèo</w:t>
      </w:r>
      <w:r w:rsidR="008C1B5E" w:rsidRPr="004E1958">
        <w:t xml:space="preserve"> </w:t>
      </w:r>
      <w:r w:rsidRPr="004E1958">
        <w:t xml:space="preserve">và tỷ lệ </w:t>
      </w:r>
      <w:r w:rsidR="00265560" w:rsidRPr="004E1958">
        <w:t>bổ sung cân đối</w:t>
      </w:r>
      <w:r w:rsidR="00B75650" w:rsidRPr="004E1958">
        <w:t xml:space="preserve"> từ ngân sách </w:t>
      </w:r>
      <w:r w:rsidR="006F08E6" w:rsidRPr="004E1958">
        <w:t>trung ương</w:t>
      </w:r>
      <w:r w:rsidR="00B75650" w:rsidRPr="004E1958">
        <w:t xml:space="preserve"> so với tổng chi ngân sách địa phương</w:t>
      </w:r>
      <w:r w:rsidRPr="004E1958">
        <w:t>.</w:t>
      </w:r>
    </w:p>
    <w:p w14:paraId="02D215CC" w14:textId="329A020E" w:rsidR="00FF03F6" w:rsidRPr="004E1958" w:rsidRDefault="00FF03F6">
      <w:r w:rsidRPr="004E1958">
        <w:t>(</w:t>
      </w:r>
      <w:r w:rsidR="00251995" w:rsidRPr="004E1958">
        <w:t>iii</w:t>
      </w:r>
      <w:r w:rsidRPr="004E1958">
        <w:t>) Tiêu chí diện tích: diện tích đất tự nhiên của các địa phương.</w:t>
      </w:r>
    </w:p>
    <w:p w14:paraId="234410F6" w14:textId="292B1062" w:rsidR="00B052AE" w:rsidRPr="004E1958" w:rsidRDefault="00FF03F6">
      <w:r w:rsidRPr="004E1958">
        <w:t>(</w:t>
      </w:r>
      <w:r w:rsidR="00CB054A" w:rsidRPr="004E1958">
        <w:t>iv</w:t>
      </w:r>
      <w:r w:rsidRPr="004E1958">
        <w:t>) Tiêu chí về đơn vị hành chính cấp huyện: bao gồm tiêu chí số đơn vị hành chính cấp huyện; số huyện miền núi; vùng cao, hải đảo; biên giới đất liền của từng địa phương.</w:t>
      </w:r>
    </w:p>
    <w:p w14:paraId="02D215CE" w14:textId="74203D57" w:rsidR="00FF03F6" w:rsidRPr="004E1958" w:rsidRDefault="00FF03F6">
      <w:r w:rsidRPr="004E1958">
        <w:t>(</w:t>
      </w:r>
      <w:r w:rsidR="00E973A2" w:rsidRPr="004E1958">
        <w:t>v</w:t>
      </w:r>
      <w:r w:rsidRPr="004E1958">
        <w:t>) Các tiêu chí bổ sung, bao gồm:</w:t>
      </w:r>
    </w:p>
    <w:p w14:paraId="02D215CF" w14:textId="77777777" w:rsidR="00FF03F6" w:rsidRPr="004E1958" w:rsidRDefault="00FF03F6">
      <w:r w:rsidRPr="004E1958">
        <w:t>- Tiêu chí xã ATK thuộc vùng căn cứ kháng chiến (ATK lịch sử).</w:t>
      </w:r>
    </w:p>
    <w:p w14:paraId="02D215D0" w14:textId="13DE2639" w:rsidR="00FF03F6" w:rsidRPr="004E1958" w:rsidRDefault="00FF03F6">
      <w:r w:rsidRPr="004E1958">
        <w:t>- Tiêu chí các xã biên giới đất liền, gồm: các xã biên giới Việt Nam - Trung Quốc, các xã biên giới Việt Nam - Lào và Việt Nam - Campuchia.</w:t>
      </w:r>
    </w:p>
    <w:p w14:paraId="4C6D16AC" w14:textId="08CD0FA3" w:rsidR="00245393" w:rsidRPr="004E1958" w:rsidRDefault="00245393">
      <w:r w:rsidRPr="004E1958">
        <w:t>- Tiêu chí vùng.</w:t>
      </w:r>
    </w:p>
    <w:p w14:paraId="02D215D1" w14:textId="21E510BB" w:rsidR="00FF03F6" w:rsidRPr="004E1958" w:rsidRDefault="00CF0B91">
      <w:r w:rsidRPr="004E1958">
        <w:t>4.</w:t>
      </w:r>
      <w:r w:rsidR="00FF03F6" w:rsidRPr="004E1958">
        <w:t> Xác định số điểm của từng tiêu chí cụ thể</w:t>
      </w:r>
      <w:r w:rsidRPr="004E1958">
        <w:t>:</w:t>
      </w:r>
    </w:p>
    <w:p w14:paraId="02D215D2" w14:textId="77777777" w:rsidR="00CF0B91" w:rsidRPr="004E1958" w:rsidRDefault="00CF0B91">
      <w:r w:rsidRPr="004E1958">
        <w:lastRenderedPageBreak/>
        <w:t>a) Tiêu chí dân số: bao gồm số dân trung bình và số người dân tộc thiểu số năm 2019. Cách tính cụ thể như sau:</w:t>
      </w:r>
    </w:p>
    <w:p w14:paraId="02D215D3" w14:textId="77777777" w:rsidR="00CF0B91" w:rsidRPr="004E1958" w:rsidRDefault="00CF0B91">
      <w:r w:rsidRPr="004E1958">
        <w:t>(1) Điểm của tiêu chí dân số trung bình</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26"/>
        <w:gridCol w:w="2526"/>
      </w:tblGrid>
      <w:tr w:rsidR="00CF0B91" w:rsidRPr="004E1958" w14:paraId="02D215D6" w14:textId="77777777" w:rsidTr="00CF0B91">
        <w:trPr>
          <w:trHeight w:val="20"/>
          <w:tblCellSpacing w:w="0" w:type="dxa"/>
        </w:trPr>
        <w:tc>
          <w:tcPr>
            <w:tcW w:w="5525"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5D4" w14:textId="77777777" w:rsidR="00CF0B91" w:rsidRPr="004E1958" w:rsidRDefault="00CF0B91" w:rsidP="00DE691A">
            <w:pPr>
              <w:ind w:firstLine="0"/>
              <w:jc w:val="center"/>
            </w:pPr>
            <w:r w:rsidRPr="004E1958">
              <w:t>Số dân trung bình</w:t>
            </w:r>
          </w:p>
        </w:tc>
        <w:tc>
          <w:tcPr>
            <w:tcW w:w="213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5D5" w14:textId="77777777" w:rsidR="00CF0B91" w:rsidRPr="004E1958" w:rsidRDefault="00CF0B91" w:rsidP="00DE691A">
            <w:pPr>
              <w:ind w:firstLine="0"/>
              <w:jc w:val="center"/>
            </w:pPr>
            <w:r w:rsidRPr="004E1958">
              <w:t>Điểm</w:t>
            </w:r>
          </w:p>
        </w:tc>
      </w:tr>
      <w:tr w:rsidR="00CF0B91" w:rsidRPr="004E1958" w14:paraId="02D215D9" w14:textId="77777777" w:rsidTr="00CF0B91">
        <w:trPr>
          <w:trHeight w:val="20"/>
          <w:tblCellSpacing w:w="0" w:type="dxa"/>
        </w:trPr>
        <w:tc>
          <w:tcPr>
            <w:tcW w:w="552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5D7" w14:textId="77777777" w:rsidR="00CF0B91" w:rsidRPr="004E1958" w:rsidRDefault="00CF0B91" w:rsidP="00DE691A">
            <w:pPr>
              <w:ind w:firstLine="0"/>
              <w:jc w:val="left"/>
            </w:pPr>
            <w:r w:rsidRPr="004E1958">
              <w:t>Đến 500.000 người</w:t>
            </w:r>
          </w:p>
        </w:tc>
        <w:tc>
          <w:tcPr>
            <w:tcW w:w="21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5D8" w14:textId="77777777" w:rsidR="00CF0B91" w:rsidRPr="004E1958" w:rsidRDefault="00CF0B91" w:rsidP="00DE691A">
            <w:pPr>
              <w:ind w:firstLine="0"/>
              <w:jc w:val="center"/>
            </w:pPr>
            <w:r w:rsidRPr="004E1958">
              <w:t>10</w:t>
            </w:r>
          </w:p>
        </w:tc>
      </w:tr>
      <w:tr w:rsidR="00CF0B91" w:rsidRPr="004E1958" w14:paraId="02D215DC" w14:textId="77777777" w:rsidTr="00CF0B91">
        <w:trPr>
          <w:trHeight w:val="20"/>
          <w:tblCellSpacing w:w="0" w:type="dxa"/>
        </w:trPr>
        <w:tc>
          <w:tcPr>
            <w:tcW w:w="552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5DA" w14:textId="77777777" w:rsidR="00CF0B91" w:rsidRPr="004E1958" w:rsidRDefault="00CF0B91" w:rsidP="00DE691A">
            <w:pPr>
              <w:ind w:firstLine="0"/>
              <w:jc w:val="left"/>
            </w:pPr>
            <w:r w:rsidRPr="004E1958">
              <w:t>Trên 500.000, cứ tăng thêm 100.000 người được thêm</w:t>
            </w:r>
          </w:p>
        </w:tc>
        <w:tc>
          <w:tcPr>
            <w:tcW w:w="21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5DB" w14:textId="440143CB" w:rsidR="00CF0B91" w:rsidRPr="004E1958" w:rsidRDefault="00805B04" w:rsidP="00DE691A">
            <w:pPr>
              <w:ind w:firstLine="0"/>
              <w:jc w:val="center"/>
            </w:pPr>
            <w:r w:rsidRPr="004E1958">
              <w:t>1</w:t>
            </w:r>
          </w:p>
        </w:tc>
      </w:tr>
    </w:tbl>
    <w:p w14:paraId="02D215DD" w14:textId="77A06726" w:rsidR="00CF0B91" w:rsidRPr="004E1958" w:rsidRDefault="00CF0B91">
      <w:r w:rsidRPr="004E1958">
        <w:t>Dân số trung bình của các địa phương để tính toán điểm được xác định căn cứ vào số liệu công bố của Tổng cục Thống kê năm 201</w:t>
      </w:r>
      <w:r w:rsidR="004C4CF1" w:rsidRPr="004E1958">
        <w:t>9</w:t>
      </w:r>
      <w:r w:rsidRPr="004E1958">
        <w:t>.</w:t>
      </w:r>
    </w:p>
    <w:p w14:paraId="5FA20B06" w14:textId="28E75EB5" w:rsidR="00577BE3" w:rsidRPr="004E1958" w:rsidRDefault="00577BE3">
      <w:r w:rsidRPr="004E1958">
        <w:t>Riêng Hà Nội và Thành phố Hồ Chí Minh áp dụng 10 điểm.</w:t>
      </w:r>
    </w:p>
    <w:p w14:paraId="02D215DE" w14:textId="6BFBDCD9" w:rsidR="00CF0B91" w:rsidRPr="004E1958" w:rsidRDefault="004C4CF1">
      <w:r w:rsidRPr="004E1958">
        <w:t xml:space="preserve"> </w:t>
      </w:r>
      <w:r w:rsidR="00CF0B91" w:rsidRPr="004E1958">
        <w:t>(2) Điểm của tiêu chí số người dân tộc thiểu số</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24"/>
        <w:gridCol w:w="2828"/>
      </w:tblGrid>
      <w:tr w:rsidR="00CF0B91" w:rsidRPr="004E1958" w14:paraId="02D215E1" w14:textId="77777777" w:rsidTr="00CF0B91">
        <w:trPr>
          <w:trHeight w:val="20"/>
          <w:tblCellSpacing w:w="0" w:type="dxa"/>
        </w:trPr>
        <w:tc>
          <w:tcPr>
            <w:tcW w:w="5278"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5DF" w14:textId="77777777" w:rsidR="00CF0B91" w:rsidRPr="004E1958" w:rsidRDefault="00CF0B91" w:rsidP="00DE691A">
            <w:pPr>
              <w:ind w:firstLine="0"/>
              <w:jc w:val="center"/>
            </w:pPr>
            <w:r w:rsidRPr="004E1958">
              <w:t>Số dân</w:t>
            </w:r>
          </w:p>
        </w:tc>
        <w:tc>
          <w:tcPr>
            <w:tcW w:w="239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5E0" w14:textId="77777777" w:rsidR="00CF0B91" w:rsidRPr="004E1958" w:rsidRDefault="00CF0B91" w:rsidP="00DE691A">
            <w:pPr>
              <w:ind w:firstLine="0"/>
              <w:jc w:val="center"/>
            </w:pPr>
            <w:r w:rsidRPr="004E1958">
              <w:t>Điểm</w:t>
            </w:r>
          </w:p>
        </w:tc>
      </w:tr>
      <w:tr w:rsidR="00CF0B91" w:rsidRPr="004E1958" w14:paraId="02D215E4" w14:textId="77777777" w:rsidTr="00CF0B91">
        <w:trPr>
          <w:trHeight w:val="20"/>
          <w:tblCellSpacing w:w="0" w:type="dxa"/>
        </w:trPr>
        <w:tc>
          <w:tcPr>
            <w:tcW w:w="5278"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5E2" w14:textId="77777777" w:rsidR="00CF0B91" w:rsidRPr="004E1958" w:rsidRDefault="00CF0B91" w:rsidP="00DE691A">
            <w:pPr>
              <w:ind w:firstLine="0"/>
              <w:jc w:val="left"/>
            </w:pPr>
            <w:r w:rsidRPr="004E1958">
              <w:t>Cứ 100.000 người dân tộc thiểu số được</w:t>
            </w:r>
          </w:p>
        </w:tc>
        <w:tc>
          <w:tcPr>
            <w:tcW w:w="239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5E3" w14:textId="46DCADC7" w:rsidR="00CF0B91" w:rsidRPr="004E1958" w:rsidRDefault="006C1C77" w:rsidP="00DE691A">
            <w:pPr>
              <w:ind w:firstLine="0"/>
              <w:jc w:val="center"/>
            </w:pPr>
            <w:r w:rsidRPr="004E1958">
              <w:t>2</w:t>
            </w:r>
          </w:p>
        </w:tc>
      </w:tr>
    </w:tbl>
    <w:p w14:paraId="02D215E5" w14:textId="3E3662EC" w:rsidR="00CF0B91" w:rsidRPr="004E1958" w:rsidRDefault="00CF0B91">
      <w:r w:rsidRPr="004E1958">
        <w:t xml:space="preserve">Số người dân tộc thiểu số của các địa phương để tính toán điểm được xác định căn cứ vào số liệu công bố của </w:t>
      </w:r>
      <w:r w:rsidR="001E07F0" w:rsidRPr="004E1958">
        <w:t>Ủy ban Dân tộc năm 2019</w:t>
      </w:r>
      <w:r w:rsidRPr="004E1958">
        <w:t>.</w:t>
      </w:r>
    </w:p>
    <w:p w14:paraId="02D215E6" w14:textId="589AB4C2" w:rsidR="00CF0B91" w:rsidRPr="004E1958" w:rsidRDefault="00CF0B91">
      <w:r w:rsidRPr="004E1958">
        <w:t xml:space="preserve">b) Tiêu chí về trình độ phát triển, bao gồm </w:t>
      </w:r>
      <w:r w:rsidR="00CD6521" w:rsidRPr="004E1958">
        <w:t>2</w:t>
      </w:r>
      <w:r w:rsidRPr="004E1958">
        <w:t xml:space="preserve"> tiêu chí: tỷ lệ hộ nghèo</w:t>
      </w:r>
      <w:r w:rsidR="00CD6521" w:rsidRPr="004E1958">
        <w:t xml:space="preserve"> </w:t>
      </w:r>
      <w:r w:rsidRPr="004E1958">
        <w:t xml:space="preserve">và </w:t>
      </w:r>
      <w:r w:rsidR="00E63B74" w:rsidRPr="004E1958">
        <w:t xml:space="preserve">tỷ lệ bổ sung cân đối từ ngân sách </w:t>
      </w:r>
      <w:r w:rsidR="006F08E6" w:rsidRPr="004E1958">
        <w:t>trung ương</w:t>
      </w:r>
      <w:r w:rsidR="00E63B74" w:rsidRPr="004E1958">
        <w:t xml:space="preserve"> so với tổng chi ngân sách địa phương</w:t>
      </w:r>
      <w:r w:rsidRPr="004E1958">
        <w:t>.</w:t>
      </w:r>
    </w:p>
    <w:p w14:paraId="02D215E7" w14:textId="77777777" w:rsidR="00CF0B91" w:rsidRPr="004E1958" w:rsidRDefault="00CF0B91">
      <w:r w:rsidRPr="004E1958">
        <w:t>(1) Điểm của tiêu chí tỷ lệ hộ nghèo:</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16"/>
        <w:gridCol w:w="2536"/>
      </w:tblGrid>
      <w:tr w:rsidR="00CF0B91" w:rsidRPr="004E1958" w14:paraId="02D215EA" w14:textId="77777777" w:rsidTr="00CF0B91">
        <w:trPr>
          <w:trHeight w:val="20"/>
          <w:tblCellSpacing w:w="0" w:type="dxa"/>
        </w:trPr>
        <w:tc>
          <w:tcPr>
            <w:tcW w:w="5525"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5E8" w14:textId="77777777" w:rsidR="00CF0B91" w:rsidRPr="004E1958" w:rsidRDefault="00CF0B91" w:rsidP="00DE691A">
            <w:pPr>
              <w:ind w:firstLine="0"/>
              <w:jc w:val="center"/>
            </w:pPr>
            <w:r w:rsidRPr="004E1958">
              <w:t>Tỷ lệ hộ nghèo</w:t>
            </w:r>
          </w:p>
        </w:tc>
        <w:tc>
          <w:tcPr>
            <w:tcW w:w="215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5E9" w14:textId="77777777" w:rsidR="00CF0B91" w:rsidRPr="004E1958" w:rsidRDefault="00CF0B91" w:rsidP="00DE691A">
            <w:pPr>
              <w:ind w:firstLine="0"/>
              <w:jc w:val="center"/>
            </w:pPr>
            <w:r w:rsidRPr="004E1958">
              <w:t>Điểm</w:t>
            </w:r>
          </w:p>
        </w:tc>
      </w:tr>
      <w:tr w:rsidR="00CF0B91" w:rsidRPr="004E1958" w14:paraId="02D215ED" w14:textId="77777777" w:rsidTr="00CF0B91">
        <w:trPr>
          <w:trHeight w:val="20"/>
          <w:tblCellSpacing w:w="0" w:type="dxa"/>
        </w:trPr>
        <w:tc>
          <w:tcPr>
            <w:tcW w:w="5525"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5EB" w14:textId="77777777" w:rsidR="00CF0B91" w:rsidRPr="004E1958" w:rsidRDefault="00CF0B91" w:rsidP="00DE691A">
            <w:pPr>
              <w:ind w:firstLine="0"/>
              <w:jc w:val="left"/>
            </w:pPr>
            <w:r w:rsidRPr="004E1958">
              <w:t>Cứ 5% hộ nghèo được</w:t>
            </w:r>
          </w:p>
        </w:tc>
        <w:tc>
          <w:tcPr>
            <w:tcW w:w="215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5EC" w14:textId="27916FFD" w:rsidR="00CF0B91" w:rsidRPr="004E1958" w:rsidRDefault="00BD1C7B" w:rsidP="00DE691A">
            <w:pPr>
              <w:ind w:firstLine="0"/>
              <w:jc w:val="center"/>
            </w:pPr>
            <w:r w:rsidRPr="004E1958">
              <w:t>2</w:t>
            </w:r>
          </w:p>
        </w:tc>
      </w:tr>
    </w:tbl>
    <w:p w14:paraId="02D215EE" w14:textId="554E79A9" w:rsidR="00CF0B91" w:rsidRPr="004E1958" w:rsidRDefault="00CF0B91">
      <w:r w:rsidRPr="004E1958">
        <w:t>Tỷ lệ hộ nghèo được xác định căn cứ số liệu công bố của Tổng cục Thống kê năm 201</w:t>
      </w:r>
      <w:r w:rsidR="005E3DA8" w:rsidRPr="004E1958">
        <w:t>9</w:t>
      </w:r>
      <w:r w:rsidRPr="004E1958">
        <w:t>.</w:t>
      </w:r>
    </w:p>
    <w:p w14:paraId="02D21604" w14:textId="3682CF2F" w:rsidR="00CF0B91" w:rsidRPr="004E1958" w:rsidRDefault="00CF0B91">
      <w:r w:rsidRPr="004E1958">
        <w:t>(</w:t>
      </w:r>
      <w:r w:rsidR="005E3DA8" w:rsidRPr="004E1958">
        <w:t>2</w:t>
      </w:r>
      <w:r w:rsidRPr="004E1958">
        <w:t xml:space="preserve">) Điểm của tiêu chí </w:t>
      </w:r>
      <w:r w:rsidR="00AF3249" w:rsidRPr="004E1958">
        <w:t>tỷ lệ bổ sung cân đối từ ngân sách trung ương so với tổng chi ngân sách địa phương</w:t>
      </w:r>
      <w:r w:rsidRPr="004E1958">
        <w: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03"/>
        <w:gridCol w:w="2549"/>
      </w:tblGrid>
      <w:tr w:rsidR="00CF0B91" w:rsidRPr="004E1958" w14:paraId="02D21607" w14:textId="77777777" w:rsidTr="00A617C6">
        <w:trPr>
          <w:trHeight w:val="20"/>
          <w:tblCellSpacing w:w="0" w:type="dxa"/>
        </w:trPr>
        <w:tc>
          <w:tcPr>
            <w:tcW w:w="6713"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05" w14:textId="6A5923ED" w:rsidR="00CF0B91" w:rsidRPr="004E1958" w:rsidRDefault="00CF0B91" w:rsidP="00DE691A">
            <w:pPr>
              <w:ind w:firstLine="0"/>
              <w:jc w:val="center"/>
            </w:pPr>
            <w:r w:rsidRPr="004E1958">
              <w:t xml:space="preserve">Tỷ lệ </w:t>
            </w:r>
            <w:r w:rsidR="00AF3249" w:rsidRPr="004E1958">
              <w:t>bổ sung cân đối từ ngân sách trung ương</w:t>
            </w:r>
          </w:p>
        </w:tc>
        <w:tc>
          <w:tcPr>
            <w:tcW w:w="261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06" w14:textId="77777777" w:rsidR="00CF0B91" w:rsidRPr="004E1958" w:rsidRDefault="00CF0B91" w:rsidP="00DE691A">
            <w:pPr>
              <w:ind w:firstLine="0"/>
              <w:jc w:val="center"/>
            </w:pPr>
            <w:r w:rsidRPr="004E1958">
              <w:t>Điểm</w:t>
            </w:r>
          </w:p>
        </w:tc>
      </w:tr>
      <w:tr w:rsidR="00CF0B91" w:rsidRPr="004E1958" w14:paraId="02D2160A" w14:textId="77777777" w:rsidTr="00A617C6">
        <w:trPr>
          <w:trHeight w:val="20"/>
          <w:tblCellSpacing w:w="0" w:type="dxa"/>
        </w:trPr>
        <w:tc>
          <w:tcPr>
            <w:tcW w:w="671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14:paraId="02D21608" w14:textId="46B3A300" w:rsidR="00CF0B91" w:rsidRPr="004E1958" w:rsidRDefault="00E36244" w:rsidP="00DE691A">
            <w:pPr>
              <w:ind w:firstLine="0"/>
              <w:jc w:val="left"/>
            </w:pPr>
            <w:r w:rsidRPr="004E1958">
              <w:t xml:space="preserve">Các địa phương </w:t>
            </w:r>
            <w:r w:rsidR="00A617C6" w:rsidRPr="004E1958">
              <w:t>có tỷ lệ bổ sung cân đối từ ngân sách trung ương 0%</w:t>
            </w:r>
          </w:p>
        </w:tc>
        <w:tc>
          <w:tcPr>
            <w:tcW w:w="26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09" w14:textId="034BC23B" w:rsidR="00CF0B91" w:rsidRPr="004E1958" w:rsidRDefault="000320AA" w:rsidP="00DE691A">
            <w:pPr>
              <w:ind w:firstLine="0"/>
              <w:jc w:val="center"/>
            </w:pPr>
            <w:r w:rsidRPr="004E1958">
              <w:t>1</w:t>
            </w:r>
          </w:p>
        </w:tc>
      </w:tr>
      <w:tr w:rsidR="00A617C6" w:rsidRPr="004E1958" w14:paraId="02D2160D" w14:textId="77777777" w:rsidTr="00A617C6">
        <w:trPr>
          <w:trHeight w:val="20"/>
          <w:tblCellSpacing w:w="0" w:type="dxa"/>
        </w:trPr>
        <w:tc>
          <w:tcPr>
            <w:tcW w:w="671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14:paraId="02D2160B" w14:textId="374D1178" w:rsidR="00A617C6" w:rsidRPr="004E1958" w:rsidRDefault="00A617C6" w:rsidP="00DE691A">
            <w:pPr>
              <w:ind w:firstLine="0"/>
              <w:jc w:val="left"/>
            </w:pPr>
            <w:r w:rsidRPr="004E1958">
              <w:lastRenderedPageBreak/>
              <w:t xml:space="preserve">Các địa phương có tỷ lệ bổ sung cân đối từ ngân sách trung ương </w:t>
            </w:r>
            <w:r w:rsidR="00AA235D" w:rsidRPr="004E1958">
              <w:t xml:space="preserve">trên </w:t>
            </w:r>
            <w:r w:rsidRPr="004E1958">
              <w:t>0%</w:t>
            </w:r>
            <w:r w:rsidR="00AA235D" w:rsidRPr="004E1958">
              <w:t xml:space="preserve"> đến </w:t>
            </w:r>
            <w:r w:rsidR="00623A22" w:rsidRPr="004E1958">
              <w:t>5</w:t>
            </w:r>
            <w:r w:rsidR="00BC2D6D" w:rsidRPr="004E1958">
              <w:t>0%</w:t>
            </w:r>
          </w:p>
        </w:tc>
        <w:tc>
          <w:tcPr>
            <w:tcW w:w="26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0C" w14:textId="77777777" w:rsidR="00A617C6" w:rsidRPr="004E1958" w:rsidRDefault="00A617C6" w:rsidP="00DE691A">
            <w:pPr>
              <w:ind w:firstLine="0"/>
              <w:jc w:val="center"/>
            </w:pPr>
            <w:r w:rsidRPr="004E1958">
              <w:t>4</w:t>
            </w:r>
          </w:p>
        </w:tc>
      </w:tr>
      <w:tr w:rsidR="00A617C6" w:rsidRPr="004E1958" w14:paraId="02D21610" w14:textId="77777777" w:rsidTr="00A617C6">
        <w:trPr>
          <w:trHeight w:val="20"/>
          <w:tblCellSpacing w:w="0" w:type="dxa"/>
        </w:trPr>
        <w:tc>
          <w:tcPr>
            <w:tcW w:w="671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14:paraId="02D2160E" w14:textId="66104A56" w:rsidR="00A617C6" w:rsidRPr="004E1958" w:rsidRDefault="00A617C6" w:rsidP="00DE691A">
            <w:pPr>
              <w:ind w:firstLine="0"/>
              <w:jc w:val="left"/>
            </w:pPr>
            <w:r w:rsidRPr="004E1958">
              <w:t xml:space="preserve">Các địa phương có tỷ lệ bổ sung cân đối từ ngân sách trung ương </w:t>
            </w:r>
            <w:r w:rsidR="00BC2D6D" w:rsidRPr="004E1958">
              <w:t xml:space="preserve">trên </w:t>
            </w:r>
            <w:r w:rsidR="00F35A50" w:rsidRPr="004E1958">
              <w:t>5</w:t>
            </w:r>
            <w:r w:rsidRPr="004E1958">
              <w:t>0%</w:t>
            </w:r>
            <w:r w:rsidR="00BC2D6D" w:rsidRPr="004E1958">
              <w:t xml:space="preserve"> đến</w:t>
            </w:r>
            <w:r w:rsidR="00F35A50" w:rsidRPr="004E1958">
              <w:t xml:space="preserve"> 70%</w:t>
            </w:r>
            <w:r w:rsidR="00BC2D6D" w:rsidRPr="004E1958">
              <w:t xml:space="preserve"> </w:t>
            </w:r>
          </w:p>
        </w:tc>
        <w:tc>
          <w:tcPr>
            <w:tcW w:w="26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0F" w14:textId="2A7E19C5" w:rsidR="00A617C6" w:rsidRPr="004E1958" w:rsidRDefault="00F35A50" w:rsidP="00DE691A">
            <w:pPr>
              <w:ind w:firstLine="0"/>
              <w:jc w:val="center"/>
            </w:pPr>
            <w:r w:rsidRPr="004E1958">
              <w:t>7</w:t>
            </w:r>
          </w:p>
        </w:tc>
      </w:tr>
      <w:tr w:rsidR="00A617C6" w:rsidRPr="004E1958" w14:paraId="02D21613" w14:textId="77777777" w:rsidTr="00A617C6">
        <w:trPr>
          <w:trHeight w:val="20"/>
          <w:tblCellSpacing w:w="0" w:type="dxa"/>
        </w:trPr>
        <w:tc>
          <w:tcPr>
            <w:tcW w:w="671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14:paraId="02D21611" w14:textId="6AE1E1BA" w:rsidR="00A617C6" w:rsidRPr="004E1958" w:rsidRDefault="00A617C6" w:rsidP="00DE691A">
            <w:pPr>
              <w:ind w:firstLine="0"/>
              <w:jc w:val="left"/>
            </w:pPr>
            <w:r w:rsidRPr="004E1958">
              <w:t>Các địa phương có tỷ lệ bổ sung cân đối từ ngân sách trung ương</w:t>
            </w:r>
            <w:r w:rsidR="001C6423" w:rsidRPr="004E1958">
              <w:t xml:space="preserve"> trên</w:t>
            </w:r>
            <w:r w:rsidRPr="004E1958">
              <w:t xml:space="preserve"> </w:t>
            </w:r>
            <w:r w:rsidR="001C6423" w:rsidRPr="004E1958">
              <w:t>7</w:t>
            </w:r>
            <w:r w:rsidRPr="004E1958">
              <w:t>0%</w:t>
            </w:r>
          </w:p>
        </w:tc>
        <w:tc>
          <w:tcPr>
            <w:tcW w:w="26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12" w14:textId="5DD0DAC6" w:rsidR="00A617C6" w:rsidRPr="004E1958" w:rsidRDefault="001C6423" w:rsidP="00DE691A">
            <w:pPr>
              <w:ind w:firstLine="0"/>
              <w:jc w:val="center"/>
            </w:pPr>
            <w:r w:rsidRPr="004E1958">
              <w:t>1</w:t>
            </w:r>
            <w:r w:rsidR="00A617C6" w:rsidRPr="004E1958">
              <w:t>0</w:t>
            </w:r>
          </w:p>
        </w:tc>
      </w:tr>
    </w:tbl>
    <w:p w14:paraId="02D21614" w14:textId="0EDE9BF0" w:rsidR="00CF0B91" w:rsidRPr="004E1958" w:rsidRDefault="00931FD4">
      <w:r w:rsidRPr="004E1958">
        <w:t xml:space="preserve">Tỷ lệ bổ sung cân đối </w:t>
      </w:r>
      <w:r w:rsidR="00CF0B91" w:rsidRPr="004E1958">
        <w:t xml:space="preserve">được tính toán điểm căn cứ vào tỷ lệ </w:t>
      </w:r>
      <w:r w:rsidRPr="004E1958">
        <w:t xml:space="preserve">bổ sung cân đối </w:t>
      </w:r>
      <w:r w:rsidR="00CF0B91" w:rsidRPr="004E1958">
        <w:t xml:space="preserve"> </w:t>
      </w:r>
      <w:r w:rsidR="006D7793" w:rsidRPr="004E1958">
        <w:t>từ</w:t>
      </w:r>
      <w:r w:rsidR="00CF0B91" w:rsidRPr="004E1958">
        <w:t xml:space="preserve"> ngân sách </w:t>
      </w:r>
      <w:r w:rsidRPr="004E1958">
        <w:t xml:space="preserve">trung ương </w:t>
      </w:r>
      <w:r w:rsidR="002021AB" w:rsidRPr="004E1958">
        <w:t xml:space="preserve">so với tổng chi ngân sách </w:t>
      </w:r>
      <w:r w:rsidR="00CF0B91" w:rsidRPr="004E1958">
        <w:t xml:space="preserve">địa phương </w:t>
      </w:r>
      <w:r w:rsidR="00F5161B" w:rsidRPr="004E1958">
        <w:t>năm 2020</w:t>
      </w:r>
      <w:r w:rsidR="00CF0B91" w:rsidRPr="004E1958">
        <w:t>.</w:t>
      </w:r>
    </w:p>
    <w:p w14:paraId="02D21615" w14:textId="0DA7BBD3" w:rsidR="00CF0B91" w:rsidRPr="004E1958" w:rsidRDefault="00CF0B91">
      <w:r w:rsidRPr="004E1958">
        <w:t>c) Tiêu chí diện tích đất tự nhiên.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05"/>
        <w:gridCol w:w="2547"/>
      </w:tblGrid>
      <w:tr w:rsidR="00CF0B91" w:rsidRPr="004E1958" w14:paraId="02D21619" w14:textId="77777777" w:rsidTr="006D7793">
        <w:trPr>
          <w:trHeight w:val="20"/>
          <w:tblCellSpacing w:w="0" w:type="dxa"/>
        </w:trPr>
        <w:tc>
          <w:tcPr>
            <w:tcW w:w="6713"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17" w14:textId="77777777" w:rsidR="00CF0B91" w:rsidRPr="004E1958" w:rsidRDefault="00CF0B91" w:rsidP="00DE691A">
            <w:pPr>
              <w:ind w:firstLine="0"/>
              <w:jc w:val="center"/>
            </w:pPr>
            <w:r w:rsidRPr="004E1958">
              <w:t>Diện tích đất tự nhiên</w:t>
            </w:r>
          </w:p>
        </w:tc>
        <w:tc>
          <w:tcPr>
            <w:tcW w:w="261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18" w14:textId="77777777" w:rsidR="00CF0B91" w:rsidRPr="004E1958" w:rsidRDefault="00CF0B91" w:rsidP="00DE691A">
            <w:pPr>
              <w:ind w:firstLine="0"/>
              <w:jc w:val="center"/>
            </w:pPr>
            <w:r w:rsidRPr="004E1958">
              <w:t>Điểm</w:t>
            </w:r>
          </w:p>
        </w:tc>
      </w:tr>
      <w:tr w:rsidR="00CF0B91" w:rsidRPr="004E1958" w14:paraId="02D2161C" w14:textId="77777777" w:rsidTr="006D7793">
        <w:trPr>
          <w:trHeight w:val="20"/>
          <w:tblCellSpacing w:w="0" w:type="dxa"/>
        </w:trPr>
        <w:tc>
          <w:tcPr>
            <w:tcW w:w="671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1A" w14:textId="77777777" w:rsidR="00CF0B91" w:rsidRPr="004E1958" w:rsidRDefault="00CF0B91" w:rsidP="00DE691A">
            <w:pPr>
              <w:ind w:firstLine="0"/>
              <w:jc w:val="left"/>
            </w:pPr>
            <w:r w:rsidRPr="004E1958">
              <w:t>Đến 2.000 km2</w:t>
            </w:r>
          </w:p>
        </w:tc>
        <w:tc>
          <w:tcPr>
            <w:tcW w:w="26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1B" w14:textId="77777777" w:rsidR="00CF0B91" w:rsidRPr="004E1958" w:rsidRDefault="00CF0B91" w:rsidP="00DE691A">
            <w:pPr>
              <w:ind w:firstLine="0"/>
              <w:jc w:val="center"/>
            </w:pPr>
            <w:r w:rsidRPr="004E1958">
              <w:t>6</w:t>
            </w:r>
          </w:p>
        </w:tc>
      </w:tr>
      <w:tr w:rsidR="00CF0B91" w:rsidRPr="004E1958" w14:paraId="02D2161F" w14:textId="77777777" w:rsidTr="006D7793">
        <w:trPr>
          <w:trHeight w:val="20"/>
          <w:tblCellSpacing w:w="0" w:type="dxa"/>
        </w:trPr>
        <w:tc>
          <w:tcPr>
            <w:tcW w:w="671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1D" w14:textId="77777777" w:rsidR="00CF0B91" w:rsidRPr="004E1958" w:rsidRDefault="00CF0B91" w:rsidP="00DE691A">
            <w:pPr>
              <w:ind w:firstLine="0"/>
              <w:jc w:val="left"/>
            </w:pPr>
            <w:r w:rsidRPr="004E1958">
              <w:t>Trên 2.000 km2 đến 5.000 km2, cứ 1.000 km2 tăng thêm được tính thêm</w:t>
            </w:r>
          </w:p>
        </w:tc>
        <w:tc>
          <w:tcPr>
            <w:tcW w:w="26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1E" w14:textId="77777777" w:rsidR="00CF0B91" w:rsidRPr="004E1958" w:rsidRDefault="00CF0B91" w:rsidP="00DE691A">
            <w:pPr>
              <w:ind w:firstLine="0"/>
              <w:jc w:val="center"/>
            </w:pPr>
            <w:r w:rsidRPr="004E1958">
              <w:t>2</w:t>
            </w:r>
          </w:p>
        </w:tc>
      </w:tr>
      <w:tr w:rsidR="00CF0B91" w:rsidRPr="004E1958" w14:paraId="02D21622" w14:textId="77777777" w:rsidTr="006D7793">
        <w:trPr>
          <w:trHeight w:val="20"/>
          <w:tblCellSpacing w:w="0" w:type="dxa"/>
        </w:trPr>
        <w:tc>
          <w:tcPr>
            <w:tcW w:w="671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20" w14:textId="77777777" w:rsidR="00CF0B91" w:rsidRPr="004E1958" w:rsidRDefault="00CF0B91" w:rsidP="00DE691A">
            <w:pPr>
              <w:ind w:firstLine="0"/>
              <w:jc w:val="left"/>
            </w:pPr>
            <w:r w:rsidRPr="004E1958">
              <w:t>Trên 5.000 km2 đến 10.000 km2, cứ 1.000 km2 tăng thêm được tính thêm</w:t>
            </w:r>
          </w:p>
        </w:tc>
        <w:tc>
          <w:tcPr>
            <w:tcW w:w="26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21" w14:textId="77777777" w:rsidR="00CF0B91" w:rsidRPr="004E1958" w:rsidRDefault="00CF0B91" w:rsidP="00DE691A">
            <w:pPr>
              <w:ind w:firstLine="0"/>
              <w:jc w:val="center"/>
            </w:pPr>
            <w:r w:rsidRPr="004E1958">
              <w:t>1</w:t>
            </w:r>
          </w:p>
        </w:tc>
      </w:tr>
      <w:tr w:rsidR="00CF0B91" w:rsidRPr="004E1958" w14:paraId="02D21625" w14:textId="77777777" w:rsidTr="006D7793">
        <w:trPr>
          <w:trHeight w:val="20"/>
          <w:tblCellSpacing w:w="0" w:type="dxa"/>
        </w:trPr>
        <w:tc>
          <w:tcPr>
            <w:tcW w:w="671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23" w14:textId="77777777" w:rsidR="00CF0B91" w:rsidRPr="004E1958" w:rsidRDefault="00CF0B91" w:rsidP="00DE691A">
            <w:pPr>
              <w:ind w:firstLine="0"/>
              <w:jc w:val="left"/>
            </w:pPr>
            <w:r w:rsidRPr="004E1958">
              <w:t>Trên 10.000 km2, cứ 1.000 km2 tăng thêm được tính thêm</w:t>
            </w:r>
          </w:p>
        </w:tc>
        <w:tc>
          <w:tcPr>
            <w:tcW w:w="261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24" w14:textId="77777777" w:rsidR="00CF0B91" w:rsidRPr="004E1958" w:rsidRDefault="00CF0B91" w:rsidP="00DE691A">
            <w:pPr>
              <w:ind w:firstLine="0"/>
              <w:jc w:val="center"/>
            </w:pPr>
            <w:r w:rsidRPr="004E1958">
              <w:t>0,5</w:t>
            </w:r>
          </w:p>
        </w:tc>
      </w:tr>
    </w:tbl>
    <w:p w14:paraId="02D21626" w14:textId="77777777" w:rsidR="00CF0B91" w:rsidRPr="004E1958" w:rsidRDefault="00CF0B91">
      <w:r w:rsidRPr="004E1958">
        <w:t>Diện tích đất tự nhiên xác định điểm lấy theo số liệu diện tích đất tự nhiên tính đến ngày 01 tháng 01 năm 20</w:t>
      </w:r>
      <w:r w:rsidR="009D4DAB" w:rsidRPr="004E1958">
        <w:t>20</w:t>
      </w:r>
      <w:r w:rsidRPr="004E1958">
        <w:t xml:space="preserve"> theo công bố của Tổng cục Thống kê.</w:t>
      </w:r>
    </w:p>
    <w:p w14:paraId="02D21637" w14:textId="77777777" w:rsidR="00CF0B91" w:rsidRPr="004E1958" w:rsidRDefault="00CF0B91">
      <w:r w:rsidRPr="004E1958">
        <w:t>d) Tiêu chí đơn vị hành chính cấp huyện, bao gồm: tiêu chí đơn vị hành chính cấp huyện (bao gồm số quận, huyện, thị xã), huyện miền núi, huyện vùng cao, hải đảo, huyện biên</w:t>
      </w:r>
      <w:r w:rsidR="006535E4" w:rsidRPr="004E1958">
        <w:t xml:space="preserve"> </w:t>
      </w:r>
      <w:r w:rsidRPr="004E1958">
        <w:t>giới đất liền.</w:t>
      </w:r>
    </w:p>
    <w:p w14:paraId="02D21638" w14:textId="77777777" w:rsidR="00CF0B91" w:rsidRPr="004E1958" w:rsidRDefault="00CF0B91">
      <w:r w:rsidRPr="004E1958">
        <w:t>(1) Điểm của tiêu chí đơn vị hành chính cấp huyện: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14"/>
        <w:gridCol w:w="2538"/>
      </w:tblGrid>
      <w:tr w:rsidR="00CF0B91" w:rsidRPr="004E1958" w14:paraId="02D2163B" w14:textId="77777777" w:rsidTr="00CF0B91">
        <w:trPr>
          <w:trHeight w:val="20"/>
          <w:tblCellSpacing w:w="0" w:type="dxa"/>
        </w:trPr>
        <w:tc>
          <w:tcPr>
            <w:tcW w:w="6373"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39" w14:textId="77777777" w:rsidR="00CF0B91" w:rsidRPr="004E1958" w:rsidRDefault="00CF0B91" w:rsidP="00DE691A">
            <w:pPr>
              <w:ind w:firstLine="0"/>
              <w:jc w:val="center"/>
            </w:pPr>
            <w:r w:rsidRPr="004E1958">
              <w:t>Đơn vị hành chính cấp huyện</w:t>
            </w:r>
          </w:p>
        </w:tc>
        <w:tc>
          <w:tcPr>
            <w:tcW w:w="248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3A" w14:textId="77777777" w:rsidR="00CF0B91" w:rsidRPr="004E1958" w:rsidRDefault="00CF0B91" w:rsidP="00DE691A">
            <w:pPr>
              <w:ind w:firstLine="0"/>
              <w:jc w:val="center"/>
            </w:pPr>
            <w:r w:rsidRPr="004E1958">
              <w:t>Điểm</w:t>
            </w:r>
          </w:p>
        </w:tc>
      </w:tr>
      <w:tr w:rsidR="00CF0B91" w:rsidRPr="004E1958" w14:paraId="02D2163E" w14:textId="77777777" w:rsidTr="00CF0B91">
        <w:trPr>
          <w:trHeight w:val="20"/>
          <w:tblCellSpacing w:w="0" w:type="dxa"/>
        </w:trPr>
        <w:tc>
          <w:tcPr>
            <w:tcW w:w="637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3C" w14:textId="77777777" w:rsidR="00CF0B91" w:rsidRPr="004E1958" w:rsidRDefault="00CF0B91" w:rsidP="00DE691A">
            <w:pPr>
              <w:ind w:firstLine="0"/>
              <w:jc w:val="left"/>
            </w:pPr>
            <w:r w:rsidRPr="004E1958">
              <w:t>Mỗi huyện được tính</w:t>
            </w:r>
          </w:p>
        </w:tc>
        <w:tc>
          <w:tcPr>
            <w:tcW w:w="248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3D" w14:textId="77777777" w:rsidR="00CF0B91" w:rsidRPr="004E1958" w:rsidRDefault="00CF0B91" w:rsidP="00DE691A">
            <w:pPr>
              <w:ind w:firstLine="0"/>
              <w:jc w:val="center"/>
            </w:pPr>
            <w:r w:rsidRPr="004E1958">
              <w:t>1</w:t>
            </w:r>
          </w:p>
        </w:tc>
      </w:tr>
    </w:tbl>
    <w:p w14:paraId="02D2163F" w14:textId="77777777" w:rsidR="00CF0B91" w:rsidRPr="004E1958" w:rsidRDefault="00CF0B91">
      <w:r w:rsidRPr="004E1958">
        <w:t>Số đơn vị hành chính cấp huyện tính toán điểm căn cứ vào số liệu công bố của Bộ Nội vụ về số đơn vị hành chính cấp huyện đến ngày 31 tháng 8 năm 20</w:t>
      </w:r>
      <w:r w:rsidR="009D4DAB" w:rsidRPr="004E1958">
        <w:t>20</w:t>
      </w:r>
      <w:r w:rsidRPr="004E1958">
        <w:t>.</w:t>
      </w:r>
    </w:p>
    <w:p w14:paraId="02D21640" w14:textId="77777777" w:rsidR="00CF0B91" w:rsidRPr="004E1958" w:rsidRDefault="00CF0B91">
      <w:r w:rsidRPr="004E1958">
        <w:lastRenderedPageBreak/>
        <w:t>(2) Điểm của tiêu chí đơn vị hành chính cấp huyện miền núi</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24"/>
        <w:gridCol w:w="2528"/>
      </w:tblGrid>
      <w:tr w:rsidR="00CF0B91" w:rsidRPr="004E1958" w14:paraId="02D21643" w14:textId="77777777" w:rsidTr="00CF0B91">
        <w:trPr>
          <w:trHeight w:val="20"/>
          <w:tblCellSpacing w:w="0" w:type="dxa"/>
        </w:trPr>
        <w:tc>
          <w:tcPr>
            <w:tcW w:w="550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41" w14:textId="77777777" w:rsidR="00CF0B91" w:rsidRPr="004E1958" w:rsidRDefault="00CF0B91" w:rsidP="00DE691A">
            <w:pPr>
              <w:ind w:firstLine="0"/>
              <w:jc w:val="center"/>
            </w:pPr>
            <w:r w:rsidRPr="004E1958">
              <w:t>Đơn vị hành chính cấp huyện miền núi</w:t>
            </w:r>
          </w:p>
        </w:tc>
        <w:tc>
          <w:tcPr>
            <w:tcW w:w="213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42" w14:textId="77777777" w:rsidR="00CF0B91" w:rsidRPr="004E1958" w:rsidRDefault="00CF0B91" w:rsidP="00DE691A">
            <w:pPr>
              <w:ind w:firstLine="0"/>
              <w:jc w:val="center"/>
            </w:pPr>
            <w:r w:rsidRPr="004E1958">
              <w:t>Điểm</w:t>
            </w:r>
          </w:p>
        </w:tc>
      </w:tr>
      <w:tr w:rsidR="00CF0B91" w:rsidRPr="004E1958" w14:paraId="02D21646" w14:textId="77777777" w:rsidTr="00CF0B91">
        <w:trPr>
          <w:trHeight w:val="20"/>
          <w:tblCellSpacing w:w="0" w:type="dxa"/>
        </w:trPr>
        <w:tc>
          <w:tcPr>
            <w:tcW w:w="550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44" w14:textId="77777777" w:rsidR="00CF0B91" w:rsidRPr="004E1958" w:rsidRDefault="00CF0B91" w:rsidP="00DE691A">
            <w:pPr>
              <w:ind w:firstLine="0"/>
              <w:jc w:val="left"/>
            </w:pPr>
            <w:r w:rsidRPr="004E1958">
              <w:t>Mỗi huyện được tính</w:t>
            </w:r>
          </w:p>
        </w:tc>
        <w:tc>
          <w:tcPr>
            <w:tcW w:w="21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45" w14:textId="77777777" w:rsidR="00CF0B91" w:rsidRPr="004E1958" w:rsidRDefault="00CF0B91" w:rsidP="00DE691A">
            <w:pPr>
              <w:ind w:firstLine="0"/>
              <w:jc w:val="center"/>
            </w:pPr>
            <w:r w:rsidRPr="004E1958">
              <w:t>0,5</w:t>
            </w:r>
          </w:p>
        </w:tc>
      </w:tr>
    </w:tbl>
    <w:p w14:paraId="02D21647" w14:textId="2AC5A287" w:rsidR="00CF0B91" w:rsidRPr="004E1958" w:rsidRDefault="00CF0B91">
      <w:r w:rsidRPr="004E1958">
        <w:t>Số đơn vị hành chính cấp huyện miền núi tính toán điểm căn cứ vào số liệu công bố của</w:t>
      </w:r>
      <w:r w:rsidR="006D774E" w:rsidRPr="004E1958">
        <w:t xml:space="preserve"> </w:t>
      </w:r>
      <w:r w:rsidRPr="004E1958">
        <w:t>Ủy ban Dân tộc về số đơn vị hành chính cấp huyện miền núi đến ngày 31 tháng 8 năm 20</w:t>
      </w:r>
      <w:r w:rsidR="006535E4" w:rsidRPr="004E1958">
        <w:t>20</w:t>
      </w:r>
      <w:r w:rsidRPr="004E1958">
        <w:t>.</w:t>
      </w:r>
    </w:p>
    <w:p w14:paraId="02D21648" w14:textId="77777777" w:rsidR="00CF0B91" w:rsidRPr="004E1958" w:rsidRDefault="00CF0B91">
      <w:r w:rsidRPr="004E1958">
        <w:t>(3) Điểm của tiêu chí đơn vị hành chính cấp huyện vùng cao, hải đảo</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29"/>
        <w:gridCol w:w="2523"/>
      </w:tblGrid>
      <w:tr w:rsidR="00CF0B91" w:rsidRPr="004E1958" w14:paraId="02D2164B" w14:textId="77777777" w:rsidTr="00CF0B91">
        <w:trPr>
          <w:trHeight w:val="20"/>
          <w:tblCellSpacing w:w="0" w:type="dxa"/>
        </w:trPr>
        <w:tc>
          <w:tcPr>
            <w:tcW w:w="5532"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2D21649" w14:textId="77777777" w:rsidR="00CF0B91" w:rsidRPr="004E1958" w:rsidRDefault="00CF0B91" w:rsidP="00DE691A">
            <w:pPr>
              <w:ind w:firstLine="0"/>
              <w:jc w:val="center"/>
            </w:pPr>
            <w:r w:rsidRPr="004E1958">
              <w:t>Đơn vị hành chính cấp huyện vùng cao, hải đảo</w:t>
            </w:r>
          </w:p>
        </w:tc>
        <w:tc>
          <w:tcPr>
            <w:tcW w:w="213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02D2164A" w14:textId="77777777" w:rsidR="00CF0B91" w:rsidRPr="004E1958" w:rsidRDefault="00CF0B91" w:rsidP="00DE691A">
            <w:pPr>
              <w:ind w:firstLine="0"/>
              <w:jc w:val="center"/>
            </w:pPr>
            <w:r w:rsidRPr="004E1958">
              <w:t>Điểm</w:t>
            </w:r>
          </w:p>
        </w:tc>
      </w:tr>
      <w:tr w:rsidR="00CF0B91" w:rsidRPr="004E1958" w14:paraId="02D2164E" w14:textId="77777777" w:rsidTr="00CF0B91">
        <w:trPr>
          <w:trHeight w:val="20"/>
          <w:tblCellSpacing w:w="0" w:type="dxa"/>
        </w:trPr>
        <w:tc>
          <w:tcPr>
            <w:tcW w:w="553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2D2164C" w14:textId="77777777" w:rsidR="00CF0B91" w:rsidRPr="004E1958" w:rsidRDefault="00CF0B91" w:rsidP="00DE691A">
            <w:pPr>
              <w:ind w:firstLine="0"/>
              <w:jc w:val="left"/>
            </w:pPr>
            <w:r w:rsidRPr="004E1958">
              <w:t>Mỗi huyện được tính</w:t>
            </w:r>
          </w:p>
        </w:tc>
        <w:tc>
          <w:tcPr>
            <w:tcW w:w="2138"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2D2164D" w14:textId="77777777" w:rsidR="00CF0B91" w:rsidRPr="004E1958" w:rsidRDefault="00CF0B91" w:rsidP="00DE691A">
            <w:pPr>
              <w:ind w:firstLine="0"/>
              <w:jc w:val="center"/>
            </w:pPr>
            <w:r w:rsidRPr="004E1958">
              <w:t>0,5</w:t>
            </w:r>
          </w:p>
        </w:tc>
      </w:tr>
    </w:tbl>
    <w:p w14:paraId="02D2164F" w14:textId="77777777" w:rsidR="00CF0B91" w:rsidRPr="004E1958" w:rsidRDefault="00CF0B91">
      <w:r w:rsidRPr="004E1958">
        <w:t>Số đơn vị hành chính cấp huyện vùng cao, hải đảo tính toán điểm căn cứ vào số liệu công bố của Ủy ban Dân tộc về số đơn vị hành chính cấp huyện vùng cao, hải đảo đến ngày 31 tháng 8 năm 20</w:t>
      </w:r>
      <w:r w:rsidR="00E837C4" w:rsidRPr="004E1958">
        <w:t>20</w:t>
      </w:r>
      <w:r w:rsidRPr="004E1958">
        <w:t>.</w:t>
      </w:r>
    </w:p>
    <w:p w14:paraId="02D21650" w14:textId="77777777" w:rsidR="00CF0B91" w:rsidRPr="004E1958" w:rsidRDefault="00CF0B91">
      <w:r w:rsidRPr="004E1958">
        <w:t>(4) Điểm của tiêu chí đơn vị hành chính cấp huyện biên giới đất liền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35"/>
        <w:gridCol w:w="2517"/>
      </w:tblGrid>
      <w:tr w:rsidR="00CF0B91" w:rsidRPr="004E1958" w14:paraId="02D21653" w14:textId="77777777" w:rsidTr="00CF0B91">
        <w:trPr>
          <w:trHeight w:val="20"/>
          <w:tblCellSpacing w:w="0" w:type="dxa"/>
        </w:trPr>
        <w:tc>
          <w:tcPr>
            <w:tcW w:w="5532"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2D21651" w14:textId="77777777" w:rsidR="00CF0B91" w:rsidRPr="004E1958" w:rsidRDefault="00CF0B91" w:rsidP="00DE691A">
            <w:pPr>
              <w:ind w:firstLine="0"/>
              <w:jc w:val="center"/>
            </w:pPr>
            <w:r w:rsidRPr="004E1958">
              <w:t>Đơn vị hành chính cấp huyện biên giới đất liền</w:t>
            </w:r>
          </w:p>
        </w:tc>
        <w:tc>
          <w:tcPr>
            <w:tcW w:w="213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14:paraId="02D21652" w14:textId="77777777" w:rsidR="00CF0B91" w:rsidRPr="004E1958" w:rsidRDefault="00CF0B91" w:rsidP="00DE691A">
            <w:pPr>
              <w:ind w:firstLine="0"/>
              <w:jc w:val="center"/>
            </w:pPr>
            <w:r w:rsidRPr="004E1958">
              <w:t>Điểm</w:t>
            </w:r>
          </w:p>
        </w:tc>
      </w:tr>
      <w:tr w:rsidR="00CF0B91" w:rsidRPr="004E1958" w14:paraId="02D21656" w14:textId="77777777" w:rsidTr="00CF0B91">
        <w:trPr>
          <w:trHeight w:val="20"/>
          <w:tblCellSpacing w:w="0" w:type="dxa"/>
        </w:trPr>
        <w:tc>
          <w:tcPr>
            <w:tcW w:w="553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02D21654" w14:textId="77777777" w:rsidR="00CF0B91" w:rsidRPr="004E1958" w:rsidRDefault="00CF0B91" w:rsidP="00DE691A">
            <w:pPr>
              <w:ind w:firstLine="0"/>
              <w:jc w:val="left"/>
            </w:pPr>
            <w:r w:rsidRPr="004E1958">
              <w:t>Mỗi huyện được tính</w:t>
            </w:r>
          </w:p>
        </w:tc>
        <w:tc>
          <w:tcPr>
            <w:tcW w:w="213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2D21655" w14:textId="77777777" w:rsidR="00CF0B91" w:rsidRPr="004E1958" w:rsidRDefault="00CF0B91" w:rsidP="00DE691A">
            <w:pPr>
              <w:ind w:firstLine="0"/>
              <w:jc w:val="center"/>
            </w:pPr>
            <w:r w:rsidRPr="004E1958">
              <w:t>1</w:t>
            </w:r>
          </w:p>
        </w:tc>
      </w:tr>
    </w:tbl>
    <w:p w14:paraId="02D21657" w14:textId="77777777" w:rsidR="00CF0B91" w:rsidRPr="004E1958" w:rsidRDefault="00CF0B91">
      <w:r w:rsidRPr="004E1958">
        <w:t>Số đơn vị hành chính cấp huyện biên giới đất liền tính toán điểm căn cứ vào số liệu côngbố của Bộ Ngoại giao về số đơn vị hành chính cấp huyện biên giới đất liền đến ngày 31 tháng 8 năm 20</w:t>
      </w:r>
      <w:r w:rsidR="00E837C4" w:rsidRPr="004E1958">
        <w:t>20</w:t>
      </w:r>
      <w:r w:rsidRPr="004E1958">
        <w:t>.</w:t>
      </w:r>
    </w:p>
    <w:p w14:paraId="02D21658" w14:textId="77777777" w:rsidR="00CF0B91" w:rsidRPr="004E1958" w:rsidRDefault="00CF0B91">
      <w:r w:rsidRPr="004E1958">
        <w:t>e) Các tiêu chí bổ sung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27"/>
        <w:gridCol w:w="2525"/>
      </w:tblGrid>
      <w:tr w:rsidR="00CF0B91" w:rsidRPr="004E1958" w14:paraId="02D2165B" w14:textId="77777777" w:rsidTr="00926CB6">
        <w:trPr>
          <w:trHeight w:val="20"/>
          <w:tblCellSpacing w:w="0" w:type="dxa"/>
        </w:trPr>
        <w:tc>
          <w:tcPr>
            <w:tcW w:w="6733"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59" w14:textId="77777777" w:rsidR="00CF0B91" w:rsidRPr="004E1958" w:rsidRDefault="00CF0B91" w:rsidP="00DE691A">
            <w:pPr>
              <w:ind w:firstLine="0"/>
              <w:jc w:val="center"/>
            </w:pPr>
            <w:r w:rsidRPr="004E1958">
              <w:t>Địa phương</w:t>
            </w:r>
          </w:p>
        </w:tc>
        <w:tc>
          <w:tcPr>
            <w:tcW w:w="2595"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5A" w14:textId="77777777" w:rsidR="00CF0B91" w:rsidRPr="004E1958" w:rsidRDefault="00CF0B91" w:rsidP="00DE691A">
            <w:pPr>
              <w:ind w:firstLine="0"/>
              <w:jc w:val="center"/>
            </w:pPr>
            <w:r w:rsidRPr="004E1958">
              <w:t>Điểm</w:t>
            </w:r>
          </w:p>
        </w:tc>
      </w:tr>
      <w:tr w:rsidR="00CF0B91" w:rsidRPr="004E1958" w14:paraId="02D2165E" w14:textId="77777777" w:rsidTr="00926CB6">
        <w:trPr>
          <w:trHeight w:val="20"/>
          <w:tblCellSpacing w:w="0" w:type="dxa"/>
        </w:trPr>
        <w:tc>
          <w:tcPr>
            <w:tcW w:w="6733"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5C" w14:textId="77777777" w:rsidR="00CF0B91" w:rsidRPr="004E1958" w:rsidRDefault="00CF0B91" w:rsidP="00DE691A">
            <w:pPr>
              <w:ind w:firstLine="0"/>
              <w:jc w:val="left"/>
            </w:pPr>
            <w:r w:rsidRPr="004E1958">
              <w:t>01 xã biên giới đất liền (Vi</w:t>
            </w:r>
            <w:r w:rsidR="00E837C4" w:rsidRPr="004E1958">
              <w:t>ệ</w:t>
            </w:r>
            <w:r w:rsidRPr="004E1958">
              <w:t>t Nam - Trung Quốc Việt Nam - Lào, Việt Nam - Cămpuchia)</w:t>
            </w:r>
          </w:p>
        </w:tc>
        <w:tc>
          <w:tcPr>
            <w:tcW w:w="2595"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D2165D" w14:textId="36B3A0E4" w:rsidR="00CF0B91" w:rsidRPr="004E1958" w:rsidRDefault="00CF0B91" w:rsidP="00DE691A">
            <w:pPr>
              <w:ind w:firstLine="0"/>
              <w:jc w:val="center"/>
            </w:pPr>
            <w:r w:rsidRPr="004E1958">
              <w:t>0,</w:t>
            </w:r>
            <w:r w:rsidR="00B052AE" w:rsidRPr="004E1958">
              <w:t>5</w:t>
            </w:r>
          </w:p>
        </w:tc>
      </w:tr>
      <w:tr w:rsidR="00CF0B91" w:rsidRPr="004E1958" w14:paraId="02D21661" w14:textId="77777777" w:rsidTr="00926CB6">
        <w:trPr>
          <w:trHeight w:val="20"/>
          <w:tblCellSpacing w:w="0" w:type="dxa"/>
        </w:trPr>
        <w:tc>
          <w:tcPr>
            <w:tcW w:w="6733" w:type="dxa"/>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hideMark/>
          </w:tcPr>
          <w:p w14:paraId="02D2165F" w14:textId="77777777" w:rsidR="00CF0B91" w:rsidRPr="004E1958" w:rsidRDefault="00CF0B91" w:rsidP="00DE691A">
            <w:pPr>
              <w:ind w:firstLine="0"/>
              <w:jc w:val="left"/>
            </w:pPr>
            <w:r w:rsidRPr="004E1958">
              <w:t>01 xã thuộc vùng căn cứ cách mạng ATK kháng chiến (ATK lịch sử)</w:t>
            </w:r>
          </w:p>
        </w:tc>
        <w:tc>
          <w:tcPr>
            <w:tcW w:w="2595" w:type="dxa"/>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hideMark/>
          </w:tcPr>
          <w:p w14:paraId="02D21660" w14:textId="6646426E" w:rsidR="00CF0B91" w:rsidRPr="004E1958" w:rsidRDefault="00CF0B91" w:rsidP="00DE691A">
            <w:pPr>
              <w:ind w:firstLine="0"/>
              <w:jc w:val="center"/>
            </w:pPr>
            <w:r w:rsidRPr="004E1958">
              <w:t>0,</w:t>
            </w:r>
            <w:r w:rsidR="00B052AE" w:rsidRPr="004E1958">
              <w:t>5</w:t>
            </w:r>
          </w:p>
        </w:tc>
      </w:tr>
      <w:tr w:rsidR="00177470" w:rsidRPr="004E1958" w14:paraId="4203BFA0" w14:textId="77777777" w:rsidTr="00926CB6">
        <w:trPr>
          <w:trHeight w:val="20"/>
          <w:tblCellSpacing w:w="0" w:type="dxa"/>
        </w:trPr>
        <w:tc>
          <w:tcPr>
            <w:tcW w:w="6733" w:type="dxa"/>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tcPr>
          <w:p w14:paraId="4F09FDA6" w14:textId="13902FE5" w:rsidR="00177470" w:rsidRPr="004E1958" w:rsidRDefault="00926CB6" w:rsidP="00DE691A">
            <w:pPr>
              <w:ind w:firstLine="0"/>
              <w:jc w:val="left"/>
            </w:pPr>
            <w:r w:rsidRPr="004E1958">
              <w:t>Đ</w:t>
            </w:r>
            <w:r w:rsidR="00177470" w:rsidRPr="004E1958">
              <w:t>ịa phương thuộc Vùng Đồng bằng sông Cửu Long</w:t>
            </w:r>
          </w:p>
        </w:tc>
        <w:tc>
          <w:tcPr>
            <w:tcW w:w="2595" w:type="dxa"/>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tcPr>
          <w:p w14:paraId="4D549C79" w14:textId="673CA6D0" w:rsidR="00177470" w:rsidRPr="004E1958" w:rsidRDefault="002A6435" w:rsidP="00DE691A">
            <w:pPr>
              <w:ind w:firstLine="0"/>
              <w:jc w:val="center"/>
            </w:pPr>
            <w:r w:rsidRPr="004E1958">
              <w:t>5</w:t>
            </w:r>
          </w:p>
        </w:tc>
      </w:tr>
      <w:tr w:rsidR="00926CB6" w:rsidRPr="004E1958" w14:paraId="4023B11D" w14:textId="77777777" w:rsidTr="00926CB6">
        <w:trPr>
          <w:trHeight w:val="20"/>
          <w:tblCellSpacing w:w="0" w:type="dxa"/>
        </w:trPr>
        <w:tc>
          <w:tcPr>
            <w:tcW w:w="6733" w:type="dxa"/>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tcPr>
          <w:p w14:paraId="379E0FC2" w14:textId="2D58D022" w:rsidR="00926CB6" w:rsidRPr="004E1958" w:rsidRDefault="00926CB6" w:rsidP="00DE691A">
            <w:pPr>
              <w:ind w:firstLine="0"/>
              <w:jc w:val="left"/>
            </w:pPr>
            <w:r w:rsidRPr="004E1958">
              <w:lastRenderedPageBreak/>
              <w:t>Địa phương thuộc Vùng Miền núi phía Bắc</w:t>
            </w:r>
          </w:p>
        </w:tc>
        <w:tc>
          <w:tcPr>
            <w:tcW w:w="2595" w:type="dxa"/>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tcPr>
          <w:p w14:paraId="45CF635D" w14:textId="33631850" w:rsidR="00926CB6" w:rsidRPr="004E1958" w:rsidRDefault="002A6435" w:rsidP="00DE691A">
            <w:pPr>
              <w:ind w:firstLine="0"/>
              <w:jc w:val="center"/>
            </w:pPr>
            <w:r w:rsidRPr="004E1958">
              <w:t>4</w:t>
            </w:r>
          </w:p>
        </w:tc>
      </w:tr>
      <w:tr w:rsidR="00373926" w:rsidRPr="004E1958" w14:paraId="1D5CCB79" w14:textId="77777777" w:rsidTr="00926CB6">
        <w:trPr>
          <w:trHeight w:val="20"/>
          <w:tblCellSpacing w:w="0" w:type="dxa"/>
        </w:trPr>
        <w:tc>
          <w:tcPr>
            <w:tcW w:w="6733" w:type="dxa"/>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tcPr>
          <w:p w14:paraId="36DE991F" w14:textId="149D5C60" w:rsidR="00373926" w:rsidRPr="004E1958" w:rsidRDefault="00373926" w:rsidP="00DE691A">
            <w:pPr>
              <w:ind w:firstLine="0"/>
              <w:jc w:val="left"/>
            </w:pPr>
            <w:r w:rsidRPr="004E1958">
              <w:t>Địa phương thuộc Vùng Tây Nguyên</w:t>
            </w:r>
          </w:p>
        </w:tc>
        <w:tc>
          <w:tcPr>
            <w:tcW w:w="2595" w:type="dxa"/>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tcPr>
          <w:p w14:paraId="14A51D2C" w14:textId="0BD28D5A" w:rsidR="00373926" w:rsidRPr="004E1958" w:rsidRDefault="002A6435" w:rsidP="00DE691A">
            <w:pPr>
              <w:ind w:firstLine="0"/>
              <w:jc w:val="center"/>
            </w:pPr>
            <w:r w:rsidRPr="004E1958">
              <w:t>3</w:t>
            </w:r>
          </w:p>
        </w:tc>
      </w:tr>
      <w:tr w:rsidR="00373926" w:rsidRPr="004E1958" w14:paraId="7F193B28" w14:textId="77777777" w:rsidTr="00926CB6">
        <w:trPr>
          <w:trHeight w:val="20"/>
          <w:tblCellSpacing w:w="0" w:type="dxa"/>
        </w:trPr>
        <w:tc>
          <w:tcPr>
            <w:tcW w:w="6733" w:type="dxa"/>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tcPr>
          <w:p w14:paraId="3FD24568" w14:textId="7AD694FD" w:rsidR="00373926" w:rsidRPr="004E1958" w:rsidRDefault="00373926" w:rsidP="00DE691A">
            <w:pPr>
              <w:ind w:firstLine="0"/>
              <w:jc w:val="left"/>
            </w:pPr>
            <w:r w:rsidRPr="004E1958">
              <w:t>Địa phương thuộc Vùng Bắc Trung Bộ và Duyên hải miền Trung</w:t>
            </w:r>
          </w:p>
        </w:tc>
        <w:tc>
          <w:tcPr>
            <w:tcW w:w="2595" w:type="dxa"/>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tcPr>
          <w:p w14:paraId="00BD7409" w14:textId="46A471B0" w:rsidR="00373926" w:rsidRPr="004E1958" w:rsidRDefault="002A6435" w:rsidP="00DE691A">
            <w:pPr>
              <w:ind w:firstLine="0"/>
              <w:jc w:val="center"/>
            </w:pPr>
            <w:r w:rsidRPr="004E1958">
              <w:t>2</w:t>
            </w:r>
          </w:p>
        </w:tc>
      </w:tr>
      <w:tr w:rsidR="00373926" w:rsidRPr="004E1958" w14:paraId="18EF2335" w14:textId="77777777" w:rsidTr="00926CB6">
        <w:trPr>
          <w:trHeight w:val="20"/>
          <w:tblCellSpacing w:w="0" w:type="dxa"/>
        </w:trPr>
        <w:tc>
          <w:tcPr>
            <w:tcW w:w="6733" w:type="dxa"/>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tcPr>
          <w:p w14:paraId="6057E474" w14:textId="745AEA0F" w:rsidR="00373926" w:rsidRPr="004E1958" w:rsidRDefault="00373926" w:rsidP="00DE691A">
            <w:pPr>
              <w:ind w:firstLine="0"/>
              <w:jc w:val="left"/>
            </w:pPr>
            <w:r w:rsidRPr="004E1958">
              <w:t xml:space="preserve">Địa phương thuộc Vùng Đồng bằng sông </w:t>
            </w:r>
            <w:r w:rsidR="00D07F62" w:rsidRPr="004E1958">
              <w:t>Hồng</w:t>
            </w:r>
          </w:p>
        </w:tc>
        <w:tc>
          <w:tcPr>
            <w:tcW w:w="2595" w:type="dxa"/>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tcPr>
          <w:p w14:paraId="26E421BD" w14:textId="6D3B7F9F" w:rsidR="00373926" w:rsidRPr="004E1958" w:rsidRDefault="002A6435" w:rsidP="00DE691A">
            <w:pPr>
              <w:ind w:firstLine="0"/>
              <w:jc w:val="center"/>
            </w:pPr>
            <w:r w:rsidRPr="004E1958">
              <w:t>1</w:t>
            </w:r>
          </w:p>
        </w:tc>
      </w:tr>
      <w:tr w:rsidR="002A6435" w:rsidRPr="004E1958" w14:paraId="783CB186" w14:textId="77777777" w:rsidTr="00926CB6">
        <w:trPr>
          <w:trHeight w:val="20"/>
          <w:tblCellSpacing w:w="0" w:type="dxa"/>
        </w:trPr>
        <w:tc>
          <w:tcPr>
            <w:tcW w:w="6733" w:type="dxa"/>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tcPr>
          <w:p w14:paraId="7C07DB44" w14:textId="16800467" w:rsidR="002A6435" w:rsidRPr="004E1958" w:rsidRDefault="002A6435" w:rsidP="00DE691A">
            <w:pPr>
              <w:ind w:firstLine="0"/>
              <w:jc w:val="left"/>
            </w:pPr>
            <w:r w:rsidRPr="004E1958">
              <w:t>Địa phương thuộc Vùng Đông Nam Bộ</w:t>
            </w:r>
          </w:p>
        </w:tc>
        <w:tc>
          <w:tcPr>
            <w:tcW w:w="2595" w:type="dxa"/>
            <w:tcBorders>
              <w:top w:val="single" w:sz="4" w:space="0" w:color="auto"/>
              <w:left w:val="single" w:sz="4" w:space="0" w:color="auto"/>
              <w:bottom w:val="single" w:sz="4" w:space="0" w:color="auto"/>
              <w:right w:val="single" w:sz="4" w:space="0" w:color="auto"/>
            </w:tcBorders>
            <w:shd w:val="clear" w:color="auto" w:fill="FFFFFF"/>
            <w:tcMar>
              <w:top w:w="28" w:type="dxa"/>
              <w:left w:w="108" w:type="dxa"/>
              <w:bottom w:w="28" w:type="dxa"/>
              <w:right w:w="108" w:type="dxa"/>
            </w:tcMar>
            <w:vAlign w:val="center"/>
          </w:tcPr>
          <w:p w14:paraId="5473C440" w14:textId="4835935F" w:rsidR="002A6435" w:rsidRPr="004E1958" w:rsidRDefault="002A6435" w:rsidP="00DE691A">
            <w:pPr>
              <w:ind w:firstLine="0"/>
              <w:jc w:val="center"/>
            </w:pPr>
            <w:r w:rsidRPr="004E1958">
              <w:t>1</w:t>
            </w:r>
          </w:p>
        </w:tc>
      </w:tr>
    </w:tbl>
    <w:p w14:paraId="02D21662" w14:textId="77777777" w:rsidR="00CF0B91" w:rsidRPr="00DE691A" w:rsidRDefault="00CF0B91">
      <w:pPr>
        <w:rPr>
          <w:spacing w:val="-4"/>
        </w:rPr>
      </w:pPr>
      <w:r w:rsidRPr="00DE691A">
        <w:rPr>
          <w:spacing w:val="-4"/>
        </w:rPr>
        <w:t>Số xã biên giới đất liền (các xã biên giới Việt Nam Trung Quốc và các xã biên giới Việt Nam - Lào, Việt Nam - Cămpuchia để tính toán điểm được xác định căn cứ vào số liệu cung cấp của Bộ Ngoại giao tính đến 31 tháng 8 năm 20</w:t>
      </w:r>
      <w:r w:rsidR="00E837C4" w:rsidRPr="00DE691A">
        <w:rPr>
          <w:spacing w:val="-4"/>
        </w:rPr>
        <w:t>20</w:t>
      </w:r>
      <w:r w:rsidRPr="00DE691A">
        <w:rPr>
          <w:spacing w:val="-4"/>
        </w:rPr>
        <w:t>.</w:t>
      </w:r>
    </w:p>
    <w:p w14:paraId="02D21663" w14:textId="7459FEC9" w:rsidR="00CF0B91" w:rsidRPr="004E1958" w:rsidRDefault="00CF0B91">
      <w:r w:rsidRPr="004E1958">
        <w:t>Số xã thuộc vùng căn cứ cách mạng ATK kháng chiến của các địa phương để tính toán điểm được xác định căn cứ vào số liệu cung cấp của Bộ Nội vụ tính đến 31 tháng 8 năm 20</w:t>
      </w:r>
      <w:r w:rsidR="00E837C4" w:rsidRPr="004E1958">
        <w:t>20</w:t>
      </w:r>
      <w:r w:rsidRPr="004E1958">
        <w:t>.</w:t>
      </w:r>
    </w:p>
    <w:p w14:paraId="02D21664" w14:textId="77777777" w:rsidR="00E837C4" w:rsidRPr="004E1958" w:rsidRDefault="00E837C4">
      <w:r w:rsidRPr="004E1958">
        <w:t>5. Phương pháp tính mức vốn được phân bổ</w:t>
      </w:r>
    </w:p>
    <w:p w14:paraId="02D21665" w14:textId="77777777" w:rsidR="00E837C4" w:rsidRPr="004E1958" w:rsidRDefault="00E837C4">
      <w:r w:rsidRPr="004E1958">
        <w:t>a) Căn cứ vào các tiêu chí trên để tính ra số điểm của từng tỉnh, thành phố và tổng số điểm của 63 tỉnh, thành phố làm căn cứ để phân bổ vốn đầu tư trong cân đối, theo các công thức sau:</w:t>
      </w:r>
    </w:p>
    <w:p w14:paraId="02D21666" w14:textId="77777777" w:rsidR="00E837C4" w:rsidRPr="004E1958" w:rsidRDefault="00E837C4">
      <w:r w:rsidRPr="004E1958">
        <w:t>- Điểm của tiêu chí dân số:</w:t>
      </w:r>
    </w:p>
    <w:p w14:paraId="02D21667" w14:textId="77777777" w:rsidR="00E837C4" w:rsidRPr="004E1958" w:rsidRDefault="00E837C4">
      <w:r w:rsidRPr="004E1958">
        <w:t>+ Gọi tổng số điểm tiêu chí dân số chung của tỉnh thứ i là A</w:t>
      </w:r>
      <w:r w:rsidRPr="004E1958">
        <w:rPr>
          <w:vertAlign w:val="subscript"/>
        </w:rPr>
        <w:t>i</w:t>
      </w:r>
    </w:p>
    <w:p w14:paraId="02D21668" w14:textId="77777777" w:rsidR="00E837C4" w:rsidRPr="004E1958" w:rsidRDefault="00E837C4">
      <w:r w:rsidRPr="004E1958">
        <w:t>+ Gọi số điểm của dân số tỉnh thứ i là h</w:t>
      </w:r>
      <w:r w:rsidRPr="004E1958">
        <w:rPr>
          <w:vertAlign w:val="subscript"/>
        </w:rPr>
        <w:t>i</w:t>
      </w:r>
      <w:r w:rsidRPr="004E1958">
        <w:t>.</w:t>
      </w:r>
    </w:p>
    <w:p w14:paraId="02D21669" w14:textId="77777777" w:rsidR="00E837C4" w:rsidRPr="004E1958" w:rsidRDefault="00E837C4">
      <w:r w:rsidRPr="004E1958">
        <w:t>+ Gọi số điểm của số dân tộc thiểu số tỉnh thứ i là k</w:t>
      </w:r>
      <w:r w:rsidRPr="004E1958">
        <w:rPr>
          <w:vertAlign w:val="subscript"/>
        </w:rPr>
        <w:t>i</w:t>
      </w:r>
      <w:r w:rsidRPr="004E1958">
        <w:t>.</w:t>
      </w:r>
    </w:p>
    <w:p w14:paraId="02D2166A" w14:textId="77777777" w:rsidR="00E837C4" w:rsidRPr="004E1958" w:rsidRDefault="00E837C4">
      <w:r w:rsidRPr="004E1958">
        <w:t>Điểm của tiêu chí dân số tỉnh thứ i sẽ là:</w:t>
      </w:r>
    </w:p>
    <w:p w14:paraId="02D2166B" w14:textId="77777777" w:rsidR="00E837C4" w:rsidRPr="004E1958" w:rsidRDefault="00E837C4">
      <w:pPr>
        <w:jc w:val="center"/>
      </w:pPr>
      <w:r w:rsidRPr="004E1958">
        <w:t>A</w:t>
      </w:r>
      <w:r w:rsidRPr="004E1958">
        <w:rPr>
          <w:vertAlign w:val="subscript"/>
        </w:rPr>
        <w:t>i</w:t>
      </w:r>
      <w:r w:rsidRPr="004E1958">
        <w:t> = h</w:t>
      </w:r>
      <w:r w:rsidRPr="004E1958">
        <w:rPr>
          <w:vertAlign w:val="subscript"/>
        </w:rPr>
        <w:t>i</w:t>
      </w:r>
      <w:r w:rsidRPr="004E1958">
        <w:t> + k</w:t>
      </w:r>
      <w:r w:rsidRPr="004E1958">
        <w:rPr>
          <w:vertAlign w:val="subscript"/>
        </w:rPr>
        <w:t>i</w:t>
      </w:r>
    </w:p>
    <w:p w14:paraId="02D2166C" w14:textId="77777777" w:rsidR="00E837C4" w:rsidRPr="004E1958" w:rsidRDefault="00E837C4">
      <w:r w:rsidRPr="004E1958">
        <w:t>- Điểm của tiêu chí trình độ phát triển:</w:t>
      </w:r>
    </w:p>
    <w:p w14:paraId="02D2166D" w14:textId="77777777" w:rsidR="00E837C4" w:rsidRPr="004E1958" w:rsidRDefault="00E837C4">
      <w:r w:rsidRPr="004E1958">
        <w:t>+ Gọi tổng số điểm tiêu chí trình độ phát triển của tỉnh thứ i là B</w:t>
      </w:r>
      <w:r w:rsidRPr="004E1958">
        <w:rPr>
          <w:vertAlign w:val="subscript"/>
        </w:rPr>
        <w:t>i</w:t>
      </w:r>
    </w:p>
    <w:p w14:paraId="02D2166E" w14:textId="77777777" w:rsidR="00E837C4" w:rsidRPr="004E1958" w:rsidRDefault="00E837C4">
      <w:r w:rsidRPr="004E1958">
        <w:t>+ Gọi số điểm của tiêu chí tỷ lệ nghèo tỉnh thứ i là n</w:t>
      </w:r>
      <w:r w:rsidRPr="004E1958">
        <w:rPr>
          <w:vertAlign w:val="subscript"/>
        </w:rPr>
        <w:t>i</w:t>
      </w:r>
      <w:r w:rsidRPr="004E1958">
        <w:t>.</w:t>
      </w:r>
    </w:p>
    <w:p w14:paraId="02D21670" w14:textId="780ED797" w:rsidR="00E837C4" w:rsidRPr="004E1958" w:rsidRDefault="00E837C4">
      <w:r w:rsidRPr="00DE691A">
        <w:rPr>
          <w:spacing w:val="-4"/>
        </w:rPr>
        <w:t xml:space="preserve">+ Gọi số điểm của tiêu chí tỷ lệ </w:t>
      </w:r>
      <w:r w:rsidR="004E2B67" w:rsidRPr="00DE691A">
        <w:rPr>
          <w:spacing w:val="-4"/>
        </w:rPr>
        <w:t>bổ sung cân đối từ ngân sách trung ương</w:t>
      </w:r>
      <w:r w:rsidRPr="00DE691A">
        <w:rPr>
          <w:spacing w:val="-4"/>
        </w:rPr>
        <w:t xml:space="preserve"> là p</w:t>
      </w:r>
      <w:r w:rsidRPr="00DE691A">
        <w:rPr>
          <w:spacing w:val="-4"/>
          <w:vertAlign w:val="subscript"/>
        </w:rPr>
        <w:t>i</w:t>
      </w:r>
      <w:r w:rsidRPr="004E1958">
        <w:t>.</w:t>
      </w:r>
    </w:p>
    <w:p w14:paraId="02D21671" w14:textId="77777777" w:rsidR="00E837C4" w:rsidRPr="004E1958" w:rsidRDefault="00E837C4">
      <w:r w:rsidRPr="004E1958">
        <w:t>Điểm của tiêu chí trình độ phát triển tỉnh thứ i sẽ là:</w:t>
      </w:r>
    </w:p>
    <w:p w14:paraId="02D21672" w14:textId="3154924F" w:rsidR="00E837C4" w:rsidRPr="004E1958" w:rsidRDefault="00E837C4">
      <w:pPr>
        <w:jc w:val="center"/>
      </w:pPr>
      <w:r w:rsidRPr="004E1958">
        <w:t>B</w:t>
      </w:r>
      <w:r w:rsidRPr="004E1958">
        <w:rPr>
          <w:vertAlign w:val="subscript"/>
        </w:rPr>
        <w:t>i</w:t>
      </w:r>
      <w:r w:rsidRPr="004E1958">
        <w:t> = n</w:t>
      </w:r>
      <w:r w:rsidRPr="004E1958">
        <w:rPr>
          <w:vertAlign w:val="subscript"/>
        </w:rPr>
        <w:t>i</w:t>
      </w:r>
      <w:r w:rsidRPr="004E1958">
        <w:t> + p</w:t>
      </w:r>
      <w:r w:rsidRPr="004E1958">
        <w:rPr>
          <w:vertAlign w:val="subscript"/>
        </w:rPr>
        <w:t>i</w:t>
      </w:r>
    </w:p>
    <w:p w14:paraId="02D21674" w14:textId="676707EA" w:rsidR="00E837C4" w:rsidRPr="004E1958" w:rsidRDefault="00E837C4">
      <w:r w:rsidRPr="004E1958">
        <w:lastRenderedPageBreak/>
        <w:t>- Điểm của tiêu chí diện tích: Gọi tổng số điểm tiêu chí diện tích của tỉnh thứ i là C</w:t>
      </w:r>
      <w:r w:rsidRPr="004E1958">
        <w:rPr>
          <w:vertAlign w:val="subscript"/>
        </w:rPr>
        <w:t>i</w:t>
      </w:r>
      <w:r w:rsidRPr="004E1958">
        <w:t>.</w:t>
      </w:r>
    </w:p>
    <w:p w14:paraId="02D21679" w14:textId="77777777" w:rsidR="00E837C4" w:rsidRPr="004E1958" w:rsidRDefault="00E837C4">
      <w:r w:rsidRPr="004E1958">
        <w:t>- Điểm của tiêu chí đơn vị hành chính cấp huyện:</w:t>
      </w:r>
    </w:p>
    <w:p w14:paraId="02D2167A" w14:textId="77777777" w:rsidR="00E837C4" w:rsidRPr="004E1958" w:rsidRDefault="00E837C4">
      <w:r w:rsidRPr="004E1958">
        <w:t>+ Gọi số điểm của tiêu chí đơn vị hành chính cấp huyện là D</w:t>
      </w:r>
      <w:r w:rsidRPr="004E1958">
        <w:rPr>
          <w:vertAlign w:val="subscript"/>
        </w:rPr>
        <w:t>i</w:t>
      </w:r>
      <w:r w:rsidRPr="004E1958">
        <w:t>.</w:t>
      </w:r>
    </w:p>
    <w:p w14:paraId="02D2167B" w14:textId="77777777" w:rsidR="00E837C4" w:rsidRPr="004E1958" w:rsidRDefault="00E837C4">
      <w:r w:rsidRPr="004E1958">
        <w:t>+ Gọi số điểm của tiêu chí đơn vị hành chính cấp huyện chung tỉnh thứ i là s</w:t>
      </w:r>
      <w:r w:rsidRPr="004E1958">
        <w:rPr>
          <w:vertAlign w:val="subscript"/>
        </w:rPr>
        <w:t>i</w:t>
      </w:r>
      <w:r w:rsidRPr="004E1958">
        <w:t>.</w:t>
      </w:r>
    </w:p>
    <w:p w14:paraId="02D2167C" w14:textId="77777777" w:rsidR="00E837C4" w:rsidRPr="004E1958" w:rsidRDefault="00E837C4">
      <w:r w:rsidRPr="004E1958">
        <w:t>+ Gọi số điểm của tiêu chí đơn vị hành chính cấp huyện miền núi tỉnh thứ i là t</w:t>
      </w:r>
      <w:r w:rsidRPr="004E1958">
        <w:rPr>
          <w:vertAlign w:val="subscript"/>
        </w:rPr>
        <w:t>i</w:t>
      </w:r>
      <w:r w:rsidRPr="004E1958">
        <w:t>.</w:t>
      </w:r>
    </w:p>
    <w:p w14:paraId="02D2167D" w14:textId="77777777" w:rsidR="00E837C4" w:rsidRPr="004E1958" w:rsidRDefault="00E837C4">
      <w:r w:rsidRPr="004E1958">
        <w:t>+ Gọi số điểm của tiêu chí đơn vị hành chính cấp huyện vùng cao, hải đảo tỉnh thứ i là u</w:t>
      </w:r>
      <w:r w:rsidRPr="004E1958">
        <w:rPr>
          <w:vertAlign w:val="subscript"/>
        </w:rPr>
        <w:t>i</w:t>
      </w:r>
      <w:r w:rsidRPr="004E1958">
        <w:t>.</w:t>
      </w:r>
    </w:p>
    <w:p w14:paraId="02D2167E" w14:textId="77777777" w:rsidR="00E837C4" w:rsidRPr="004E1958" w:rsidRDefault="00E837C4">
      <w:r w:rsidRPr="004E1958">
        <w:t>+ Gọi số điểm của tiêu chí đơn vị hành chính cấp huyện biên giới đất liền tỉnh thứ i là v</w:t>
      </w:r>
      <w:r w:rsidRPr="004E1958">
        <w:rPr>
          <w:vertAlign w:val="subscript"/>
        </w:rPr>
        <w:t>i</w:t>
      </w:r>
      <w:r w:rsidRPr="004E1958">
        <w:t>.</w:t>
      </w:r>
    </w:p>
    <w:p w14:paraId="02D2167F" w14:textId="77777777" w:rsidR="00E837C4" w:rsidRPr="004E1958" w:rsidRDefault="00E837C4">
      <w:r w:rsidRPr="004E1958">
        <w:t>Tổng số điểm của tiêu chí đơn vị hành chính tỉnh thứ i sẽ là D</w:t>
      </w:r>
      <w:r w:rsidRPr="004E1958">
        <w:rPr>
          <w:vertAlign w:val="subscript"/>
        </w:rPr>
        <w:t>i</w:t>
      </w:r>
      <w:r w:rsidRPr="004E1958">
        <w:t>:</w:t>
      </w:r>
    </w:p>
    <w:p w14:paraId="02D21680" w14:textId="77777777" w:rsidR="00E837C4" w:rsidRPr="004E1958" w:rsidRDefault="00E837C4">
      <w:pPr>
        <w:jc w:val="center"/>
      </w:pPr>
      <w:r w:rsidRPr="004E1958">
        <w:t>D</w:t>
      </w:r>
      <w:r w:rsidRPr="004E1958">
        <w:rPr>
          <w:vertAlign w:val="subscript"/>
        </w:rPr>
        <w:t>i</w:t>
      </w:r>
      <w:r w:rsidRPr="004E1958">
        <w:t> = s</w:t>
      </w:r>
      <w:r w:rsidRPr="004E1958">
        <w:rPr>
          <w:vertAlign w:val="subscript"/>
        </w:rPr>
        <w:t>i</w:t>
      </w:r>
      <w:r w:rsidRPr="004E1958">
        <w:t> + t</w:t>
      </w:r>
      <w:r w:rsidRPr="004E1958">
        <w:rPr>
          <w:vertAlign w:val="subscript"/>
        </w:rPr>
        <w:t>i</w:t>
      </w:r>
      <w:r w:rsidRPr="004E1958">
        <w:t> + u</w:t>
      </w:r>
      <w:r w:rsidRPr="004E1958">
        <w:rPr>
          <w:vertAlign w:val="subscript"/>
        </w:rPr>
        <w:t>i</w:t>
      </w:r>
      <w:r w:rsidRPr="004E1958">
        <w:t> +n</w:t>
      </w:r>
      <w:r w:rsidRPr="004E1958">
        <w:rPr>
          <w:vertAlign w:val="subscript"/>
        </w:rPr>
        <w:t>i</w:t>
      </w:r>
    </w:p>
    <w:p w14:paraId="02D21681" w14:textId="77777777" w:rsidR="00E837C4" w:rsidRPr="004E1958" w:rsidRDefault="00E837C4">
      <w:r w:rsidRPr="004E1958">
        <w:t>- Điểm của tiêu chí bổ sung:</w:t>
      </w:r>
    </w:p>
    <w:p w14:paraId="02D21682" w14:textId="77777777" w:rsidR="00E837C4" w:rsidRPr="004E1958" w:rsidRDefault="00E837C4">
      <w:r w:rsidRPr="004E1958">
        <w:t>+ Gọi số điểm xã biên giới đất liền là E</w:t>
      </w:r>
      <w:r w:rsidRPr="004E1958">
        <w:rPr>
          <w:vertAlign w:val="subscript"/>
        </w:rPr>
        <w:t>i</w:t>
      </w:r>
      <w:r w:rsidRPr="004E1958">
        <w:t>.</w:t>
      </w:r>
    </w:p>
    <w:p w14:paraId="02D21683" w14:textId="76A78AC0" w:rsidR="00E837C4" w:rsidRPr="004E1958" w:rsidRDefault="00E837C4">
      <w:r w:rsidRPr="004E1958">
        <w:t>+ Gọi số điểm xã thuộc vùng căn cứ cách mạng ATK kháng chiến là F</w:t>
      </w:r>
      <w:r w:rsidRPr="004E1958">
        <w:rPr>
          <w:vertAlign w:val="subscript"/>
        </w:rPr>
        <w:t>i</w:t>
      </w:r>
      <w:r w:rsidRPr="004E1958">
        <w:t>.</w:t>
      </w:r>
    </w:p>
    <w:p w14:paraId="1482D36D" w14:textId="5DD05985" w:rsidR="00277F42" w:rsidRPr="004E1958" w:rsidRDefault="00277F42">
      <w:r w:rsidRPr="004E1958">
        <w:t xml:space="preserve">+ Gọi số điểm </w:t>
      </w:r>
      <w:r w:rsidR="005846E2" w:rsidRPr="004E1958">
        <w:t xml:space="preserve">thuộc tiêu chí vùng </w:t>
      </w:r>
      <w:r w:rsidR="00C44C20" w:rsidRPr="004E1958">
        <w:t>G</w:t>
      </w:r>
      <w:r w:rsidR="00C44C20" w:rsidRPr="004E1958">
        <w:rPr>
          <w:vertAlign w:val="subscript"/>
        </w:rPr>
        <w:t>i</w:t>
      </w:r>
      <w:r w:rsidR="005846E2" w:rsidRPr="004E1958">
        <w:t>.</w:t>
      </w:r>
    </w:p>
    <w:p w14:paraId="02D21684" w14:textId="77777777" w:rsidR="00E837C4" w:rsidRPr="004E1958" w:rsidRDefault="00E837C4">
      <w:r w:rsidRPr="004E1958">
        <w:t>Gọi tổng số điểm tiêu chí bổ sung của tỉnh thứ i gọi là L</w:t>
      </w:r>
      <w:r w:rsidRPr="004E1958">
        <w:rPr>
          <w:vertAlign w:val="subscript"/>
        </w:rPr>
        <w:t>i</w:t>
      </w:r>
      <w:r w:rsidRPr="004E1958">
        <w:t>:</w:t>
      </w:r>
    </w:p>
    <w:p w14:paraId="02D21685" w14:textId="6E240760" w:rsidR="00E837C4" w:rsidRPr="004E1958" w:rsidRDefault="00E837C4">
      <w:pPr>
        <w:jc w:val="center"/>
      </w:pPr>
      <w:r w:rsidRPr="004E1958">
        <w:t>L</w:t>
      </w:r>
      <w:r w:rsidRPr="004E1958">
        <w:rPr>
          <w:vertAlign w:val="subscript"/>
        </w:rPr>
        <w:t>i</w:t>
      </w:r>
      <w:r w:rsidRPr="004E1958">
        <w:t> = E</w:t>
      </w:r>
      <w:r w:rsidRPr="004E1958">
        <w:rPr>
          <w:vertAlign w:val="subscript"/>
        </w:rPr>
        <w:t>i</w:t>
      </w:r>
      <w:r w:rsidRPr="004E1958">
        <w:t> + </w:t>
      </w:r>
      <w:r w:rsidR="00C44C20" w:rsidRPr="004E1958">
        <w:t>F</w:t>
      </w:r>
      <w:r w:rsidR="00C44C20" w:rsidRPr="004E1958">
        <w:rPr>
          <w:vertAlign w:val="subscript"/>
        </w:rPr>
        <w:t>i</w:t>
      </w:r>
      <w:r w:rsidR="00C44C20" w:rsidRPr="004E1958">
        <w:t xml:space="preserve"> + G</w:t>
      </w:r>
      <w:r w:rsidRPr="004E1958">
        <w:rPr>
          <w:vertAlign w:val="subscript"/>
        </w:rPr>
        <w:t>i</w:t>
      </w:r>
      <w:r w:rsidR="00C44C20" w:rsidRPr="004E1958">
        <w:rPr>
          <w:vertAlign w:val="subscript"/>
        </w:rPr>
        <w:t xml:space="preserve">  </w:t>
      </w:r>
    </w:p>
    <w:p w14:paraId="02D21686" w14:textId="77777777" w:rsidR="00E837C4" w:rsidRPr="004E1958" w:rsidRDefault="00E837C4">
      <w:r w:rsidRPr="004E1958">
        <w:t>- Tổng điểm của tỉnh thứ i:</w:t>
      </w:r>
    </w:p>
    <w:p w14:paraId="02D21687" w14:textId="77777777" w:rsidR="00E837C4" w:rsidRPr="004E1958" w:rsidRDefault="00E837C4">
      <w:r w:rsidRPr="004E1958">
        <w:t>+ Gọi tổng số điểm của tỉnh thứ i gọi là X</w:t>
      </w:r>
      <w:r w:rsidRPr="004E1958">
        <w:rPr>
          <w:vertAlign w:val="subscript"/>
        </w:rPr>
        <w:t>i</w:t>
      </w:r>
      <w:r w:rsidRPr="004E1958">
        <w:t>:</w:t>
      </w:r>
    </w:p>
    <w:p w14:paraId="02D21688" w14:textId="77777777" w:rsidR="00E837C4" w:rsidRPr="004E1958" w:rsidRDefault="00E837C4">
      <w:pPr>
        <w:jc w:val="center"/>
      </w:pPr>
      <w:r w:rsidRPr="004E1958">
        <w:t>X</w:t>
      </w:r>
      <w:r w:rsidRPr="004E1958">
        <w:rPr>
          <w:vertAlign w:val="subscript"/>
        </w:rPr>
        <w:t>i</w:t>
      </w:r>
      <w:r w:rsidRPr="004E1958">
        <w:t> = A</w:t>
      </w:r>
      <w:r w:rsidRPr="004E1958">
        <w:rPr>
          <w:vertAlign w:val="subscript"/>
        </w:rPr>
        <w:t>i</w:t>
      </w:r>
      <w:r w:rsidRPr="004E1958">
        <w:t> + B</w:t>
      </w:r>
      <w:r w:rsidRPr="004E1958">
        <w:rPr>
          <w:vertAlign w:val="subscript"/>
        </w:rPr>
        <w:t>i</w:t>
      </w:r>
      <w:r w:rsidRPr="004E1958">
        <w:t> + C</w:t>
      </w:r>
      <w:r w:rsidRPr="004E1958">
        <w:rPr>
          <w:vertAlign w:val="subscript"/>
        </w:rPr>
        <w:t>i</w:t>
      </w:r>
      <w:r w:rsidRPr="004E1958">
        <w:t> + D</w:t>
      </w:r>
      <w:r w:rsidRPr="004E1958">
        <w:rPr>
          <w:vertAlign w:val="subscript"/>
        </w:rPr>
        <w:t>i</w:t>
      </w:r>
      <w:r w:rsidRPr="004E1958">
        <w:t> + L</w:t>
      </w:r>
      <w:r w:rsidRPr="004E1958">
        <w:rPr>
          <w:vertAlign w:val="subscript"/>
        </w:rPr>
        <w:t>i</w:t>
      </w:r>
    </w:p>
    <w:p w14:paraId="02D21689" w14:textId="77777777" w:rsidR="00E837C4" w:rsidRPr="004E1958" w:rsidRDefault="00E837C4">
      <w:r w:rsidRPr="004E1958">
        <w:t>- Tổng sổ điểm của 63 tỉnh, thành phố là Y, ta có:</w:t>
      </w:r>
    </w:p>
    <w:p w14:paraId="02D2168A" w14:textId="77777777" w:rsidR="00E837C4" w:rsidRPr="004E1958" w:rsidRDefault="006663DD">
      <m:oMathPara>
        <m:oMath>
          <m:r>
            <w:rPr>
              <w:rFonts w:ascii="Cambria Math" w:hAnsi="Cambria Math"/>
            </w:rPr>
            <m:t>Y=</m:t>
          </m:r>
          <m:nary>
            <m:naryPr>
              <m:chr m:val="∑"/>
              <m:limLoc m:val="undOvr"/>
              <m:ctrlPr>
                <w:rPr>
                  <w:rFonts w:ascii="Cambria Math" w:hAnsi="Cambria Math"/>
                  <w:i/>
                </w:rPr>
              </m:ctrlPr>
            </m:naryPr>
            <m:sub>
              <m:r>
                <w:rPr>
                  <w:rFonts w:ascii="Cambria Math" w:hAnsi="Cambria Math"/>
                </w:rPr>
                <m:t>i=1</m:t>
              </m:r>
            </m:sub>
            <m:sup>
              <m:r>
                <w:rPr>
                  <w:rFonts w:ascii="Cambria Math" w:hAnsi="Cambria Math"/>
                </w:rPr>
                <m:t>63</m:t>
              </m:r>
            </m:sup>
            <m:e>
              <m:r>
                <w:rPr>
                  <w:rFonts w:ascii="Cambria Math" w:hAnsi="Cambria Math"/>
                </w:rPr>
                <m:t>Xi</m:t>
              </m:r>
            </m:e>
          </m:nary>
        </m:oMath>
      </m:oMathPara>
    </w:p>
    <w:p w14:paraId="02D2168B" w14:textId="77777777" w:rsidR="00E837C4" w:rsidRPr="004E1958" w:rsidRDefault="00E837C4">
      <w:r w:rsidRPr="004E1958">
        <w:t>b) Số vốn định mức cho 1 điểm phân bổ được tính theo công thức:</w:t>
      </w:r>
    </w:p>
    <w:p w14:paraId="02D2168C" w14:textId="77777777" w:rsidR="00E837C4" w:rsidRPr="004E1958" w:rsidRDefault="00E837C4">
      <w:r w:rsidRPr="004E1958">
        <w:t xml:space="preserve">Gọi K là tổng số vốn </w:t>
      </w:r>
      <w:r w:rsidR="006663DD" w:rsidRPr="004E1958">
        <w:t>ngân sách trung ương bổ sung có mục tiêu cho ngân sách địa phương</w:t>
      </w:r>
      <w:r w:rsidRPr="004E1958">
        <w:t>.</w:t>
      </w:r>
    </w:p>
    <w:p w14:paraId="02D2168D" w14:textId="77777777" w:rsidR="00E837C4" w:rsidRPr="004E1958" w:rsidRDefault="00E837C4">
      <w:r w:rsidRPr="004E1958">
        <w:t>Z là số vốn định mức cho một điểm phân bổ vốn đầu tư, ta có:</w:t>
      </w:r>
    </w:p>
    <w:p w14:paraId="02D2168E" w14:textId="77777777" w:rsidR="006663DD" w:rsidRPr="004E1958" w:rsidRDefault="006663DD">
      <m:oMathPara>
        <m:oMath>
          <m:r>
            <w:rPr>
              <w:rFonts w:ascii="Cambria Math" w:hAnsi="Cambria Math"/>
            </w:rPr>
            <m:t>Z=</m:t>
          </m:r>
          <m:f>
            <m:fPr>
              <m:ctrlPr>
                <w:rPr>
                  <w:rFonts w:ascii="Cambria Math" w:hAnsi="Cambria Math"/>
                  <w:i/>
                </w:rPr>
              </m:ctrlPr>
            </m:fPr>
            <m:num>
              <m:r>
                <w:rPr>
                  <w:rFonts w:ascii="Cambria Math" w:hAnsi="Cambria Math"/>
                </w:rPr>
                <m:t>K</m:t>
              </m:r>
            </m:num>
            <m:den>
              <m:r>
                <w:rPr>
                  <w:rFonts w:ascii="Cambria Math" w:hAnsi="Cambria Math"/>
                </w:rPr>
                <m:t>Y</m:t>
              </m:r>
            </m:den>
          </m:f>
        </m:oMath>
      </m:oMathPara>
    </w:p>
    <w:p w14:paraId="02D2168F" w14:textId="77777777" w:rsidR="00E837C4" w:rsidRPr="004E1958" w:rsidRDefault="00E837C4">
      <w:r w:rsidRPr="004E1958">
        <w:lastRenderedPageBreak/>
        <w:t xml:space="preserve">c) Tổng số vốn </w:t>
      </w:r>
      <w:r w:rsidR="006663DD" w:rsidRPr="004E1958">
        <w:t xml:space="preserve">ngân sách trung ương bổ sung có mục tiêu cho ngân sách địa phương </w:t>
      </w:r>
      <w:r w:rsidRPr="004E1958">
        <w:t>của từng địa phương được tính theo công thức:</w:t>
      </w:r>
    </w:p>
    <w:p w14:paraId="02D21690" w14:textId="77777777" w:rsidR="00E837C4" w:rsidRPr="004E1958" w:rsidRDefault="00E837C4">
      <w:r w:rsidRPr="004E1958">
        <w:t xml:space="preserve">Gọi Vi là số vốn </w:t>
      </w:r>
      <w:r w:rsidR="006663DD" w:rsidRPr="004E1958">
        <w:t>ngân sách trung ương bổ sung có mục tiêu cho ngân sách địa phương</w:t>
      </w:r>
      <w:r w:rsidRPr="004E1958">
        <w:t>:</w:t>
      </w:r>
    </w:p>
    <w:p w14:paraId="02D21691" w14:textId="77777777" w:rsidR="00E837C4" w:rsidRPr="004E1958" w:rsidRDefault="00E837C4">
      <w:pPr>
        <w:jc w:val="center"/>
      </w:pPr>
      <w:r w:rsidRPr="004E1958">
        <w:t>V</w:t>
      </w:r>
      <w:r w:rsidRPr="004E1958">
        <w:rPr>
          <w:vertAlign w:val="subscript"/>
        </w:rPr>
        <w:t>i</w:t>
      </w:r>
      <w:r w:rsidRPr="004E1958">
        <w:t> = Z x X</w:t>
      </w:r>
      <w:r w:rsidRPr="004E1958">
        <w:rPr>
          <w:vertAlign w:val="subscript"/>
        </w:rPr>
        <w:t>i</w:t>
      </w:r>
    </w:p>
    <w:p w14:paraId="02D21694" w14:textId="77777777" w:rsidR="00E837C4" w:rsidRPr="004E1958" w:rsidRDefault="00E837C4">
      <w:pPr>
        <w:rPr>
          <w:b/>
          <w:sz w:val="24"/>
        </w:rPr>
      </w:pPr>
      <w:bookmarkStart w:id="15" w:name="muc_5"/>
      <w:r w:rsidRPr="004E1958">
        <w:rPr>
          <w:b/>
          <w:sz w:val="24"/>
        </w:rPr>
        <w:t>V</w:t>
      </w:r>
      <w:r w:rsidR="008967A4" w:rsidRPr="004E1958">
        <w:rPr>
          <w:b/>
          <w:sz w:val="24"/>
        </w:rPr>
        <w:t>I</w:t>
      </w:r>
      <w:r w:rsidRPr="004E1958">
        <w:rPr>
          <w:b/>
          <w:sz w:val="24"/>
        </w:rPr>
        <w:t>. NGUYÊN TẮC, TIÊU CHÍ VÀ ĐỊNH MỨC PHÂN BỔ VỐN NGÂN SÁCH TRUNG ƯƠNG CHO CÁC CHƯƠNG TRÌNH MỤC TIÊU QUỐC GIA</w:t>
      </w:r>
      <w:bookmarkEnd w:id="15"/>
    </w:p>
    <w:p w14:paraId="02D21695" w14:textId="77777777" w:rsidR="00E837C4" w:rsidRPr="004E1958" w:rsidRDefault="00E837C4">
      <w:r w:rsidRPr="004E1958">
        <w:t>Đối với các chương trình mục tiêu quốc gia, sau khi Quốc hội thông qua chủ trương đầu tư, Thủ tướng Chính phủ phê duyệt quyết định đầu tư chương trình mục tiêu quốc gia, nguyên tắc, tiêu chí và định mức phân bổ vốn ngân sách trung ương cho các chương trình mục tiêu quốc gia theo quy định tại Nghị quyết của Quốc hội về chủ trương đầu tư của từng chương trình.</w:t>
      </w:r>
    </w:p>
    <w:p w14:paraId="1FDED540" w14:textId="40374ADC" w:rsidR="0053277A" w:rsidRPr="004E1958" w:rsidRDefault="008967A4">
      <w:pPr>
        <w:rPr>
          <w:b/>
          <w:sz w:val="24"/>
        </w:rPr>
      </w:pPr>
      <w:r w:rsidRPr="004E1958">
        <w:rPr>
          <w:b/>
          <w:sz w:val="24"/>
        </w:rPr>
        <w:t xml:space="preserve">VII. NGUYÊN TẮC, TIÊU CHÍ VÀ ĐỊNH MỨC PHÂN BỔ VỐN </w:t>
      </w:r>
      <w:r w:rsidR="006E0CBA" w:rsidRPr="004E1958">
        <w:rPr>
          <w:b/>
          <w:sz w:val="24"/>
        </w:rPr>
        <w:t>ĐẦU TƯ CÔNG</w:t>
      </w:r>
      <w:r w:rsidRPr="004E1958">
        <w:rPr>
          <w:b/>
          <w:sz w:val="24"/>
        </w:rPr>
        <w:t xml:space="preserve"> NGUỒN NGÂN SÁCH ĐỊA PHƯƠNG</w:t>
      </w:r>
    </w:p>
    <w:p w14:paraId="02D21697" w14:textId="646CC6F4" w:rsidR="008967A4" w:rsidRPr="004E1958" w:rsidRDefault="008967A4">
      <w:pPr>
        <w:rPr>
          <w:i/>
        </w:rPr>
      </w:pPr>
      <w:r w:rsidRPr="004E1958">
        <w:rPr>
          <w:i/>
        </w:rPr>
        <w:t>Đề nghị Bộ Tài chính</w:t>
      </w:r>
      <w:r w:rsidR="005F037D" w:rsidRPr="004E1958">
        <w:rPr>
          <w:i/>
        </w:rPr>
        <w:t xml:space="preserve"> phối hợp</w:t>
      </w:r>
      <w:r w:rsidRPr="004E1958">
        <w:rPr>
          <w:i/>
        </w:rPr>
        <w:t xml:space="preserve"> viết phần này</w:t>
      </w:r>
    </w:p>
    <w:p w14:paraId="02D21698" w14:textId="77777777" w:rsidR="008967A4" w:rsidRPr="004E1958" w:rsidRDefault="008967A4">
      <w:pPr>
        <w:rPr>
          <w:b/>
          <w:sz w:val="24"/>
        </w:rPr>
      </w:pPr>
      <w:r w:rsidRPr="004E1958">
        <w:rPr>
          <w:b/>
          <w:sz w:val="24"/>
        </w:rPr>
        <w:t>VIII. ĐIỀU KHOẢN CHUYỂN TIẾP</w:t>
      </w:r>
    </w:p>
    <w:p w14:paraId="708F8C07" w14:textId="3B938101" w:rsidR="00AD450C" w:rsidRPr="004E1958" w:rsidRDefault="00E868E4">
      <w:r w:rsidRPr="004E1958">
        <w:t>1.</w:t>
      </w:r>
      <w:r w:rsidR="00637D55" w:rsidRPr="004E1958">
        <w:t xml:space="preserve"> </w:t>
      </w:r>
      <w:r w:rsidR="00487184" w:rsidRPr="004E1958">
        <w:t xml:space="preserve">Đối với các dự án đang thực hiện dở dang, dự án đã có trong kế hoạch đầu tư công trung hạn giai đoạn 2016-2020 </w:t>
      </w:r>
      <w:r w:rsidR="0005474A" w:rsidRPr="004E1958">
        <w:t xml:space="preserve">nguồn ngân sách nhà nước </w:t>
      </w:r>
      <w:r w:rsidR="00487184" w:rsidRPr="004E1958">
        <w:t>nhưng chưa được bố trí vốn hằng năm để thực hiện,</w:t>
      </w:r>
      <w:r w:rsidR="007D549E" w:rsidRPr="004E1958">
        <w:t xml:space="preserve"> các bộ, cơ quan trung ương và</w:t>
      </w:r>
      <w:r w:rsidR="00487184" w:rsidRPr="004E1958">
        <w:t xml:space="preserve"> địa phương t</w:t>
      </w:r>
      <w:r w:rsidR="00637D55" w:rsidRPr="004E1958">
        <w:t>iếp tục bố trí vốn ngân sách trung ương</w:t>
      </w:r>
      <w:r w:rsidR="00CE3BA5" w:rsidRPr="004E1958">
        <w:t xml:space="preserve"> </w:t>
      </w:r>
      <w:r w:rsidR="00BE7AC2" w:rsidRPr="004E1958">
        <w:t>theo</w:t>
      </w:r>
      <w:r w:rsidR="00CE3BA5" w:rsidRPr="004E1958">
        <w:t xml:space="preserve"> tiến độ </w:t>
      </w:r>
      <w:r w:rsidR="006506EA" w:rsidRPr="004E1958">
        <w:t>bố trí vốn</w:t>
      </w:r>
      <w:r w:rsidR="00637D55" w:rsidRPr="004E1958">
        <w:t xml:space="preserve"> đã được cấp có thẩm quyền quyết định</w:t>
      </w:r>
      <w:r w:rsidR="00487184" w:rsidRPr="004E1958">
        <w:t>.</w:t>
      </w:r>
    </w:p>
    <w:p w14:paraId="02D2169B" w14:textId="16728E66" w:rsidR="009E1B7D" w:rsidRDefault="00E868E4">
      <w:r w:rsidRPr="004E1958">
        <w:t>2.</w:t>
      </w:r>
      <w:r w:rsidR="00487184" w:rsidRPr="004E1958">
        <w:t xml:space="preserve"> Đối với các dự án dự kiến đầu tư thuộc các chương trình nhưng chưa có trong kế hoạch </w:t>
      </w:r>
      <w:r w:rsidR="009B39AA" w:rsidRPr="004E1958">
        <w:t xml:space="preserve">đầu tư công </w:t>
      </w:r>
      <w:r w:rsidR="00487184" w:rsidRPr="004E1958">
        <w:t>trung hạn giai đoạn 2016-2020</w:t>
      </w:r>
      <w:r w:rsidR="0005474A" w:rsidRPr="004E1958">
        <w:t xml:space="preserve"> nguồn ngân sách nhà nước</w:t>
      </w:r>
      <w:r w:rsidR="00487184" w:rsidRPr="004E1958">
        <w:t xml:space="preserve">, </w:t>
      </w:r>
      <w:r w:rsidR="00565F63" w:rsidRPr="004E1958">
        <w:t xml:space="preserve">trong trường hợp </w:t>
      </w:r>
      <w:r w:rsidR="00487184" w:rsidRPr="004E1958">
        <w:t>các</w:t>
      </w:r>
      <w:r w:rsidR="00BE7AC2" w:rsidRPr="004E1958">
        <w:t xml:space="preserve"> bộ, cơ quan trung ương và</w:t>
      </w:r>
      <w:r w:rsidR="00487184" w:rsidRPr="004E1958">
        <w:t xml:space="preserve"> địa phương</w:t>
      </w:r>
      <w:r w:rsidR="00565F63" w:rsidRPr="004E1958">
        <w:t xml:space="preserve"> dự kiến tiếp tục bố trí trong kế hoạch trung hạn giai đoạn 2021-2025 </w:t>
      </w:r>
      <w:r w:rsidR="00751200" w:rsidRPr="004E1958">
        <w:t xml:space="preserve">nguồn ngân sách nhà nước </w:t>
      </w:r>
      <w:r w:rsidR="00565F63" w:rsidRPr="004E1958">
        <w:t xml:space="preserve">của </w:t>
      </w:r>
      <w:r w:rsidR="00BE7AC2" w:rsidRPr="004E1958">
        <w:t>đơn vị</w:t>
      </w:r>
      <w:r w:rsidR="00565F63" w:rsidRPr="004E1958">
        <w:t xml:space="preserve"> mình</w:t>
      </w:r>
      <w:r w:rsidR="00751200" w:rsidRPr="004E1958">
        <w:t xml:space="preserve"> </w:t>
      </w:r>
      <w:r w:rsidR="00487184" w:rsidRPr="004E1958">
        <w:t>thực hiện theo quy định tại Điều 101 Luật Đầu tư công</w:t>
      </w:r>
      <w:r w:rsidR="00565F63" w:rsidRPr="004E1958">
        <w:t>.</w:t>
      </w:r>
    </w:p>
    <w:p w14:paraId="6707C814" w14:textId="4507E4F4" w:rsidR="00233D90" w:rsidRDefault="00233D90" w:rsidP="00B443B1"/>
    <w:p w14:paraId="2AD4808B" w14:textId="35542917" w:rsidR="00233D90" w:rsidRDefault="00233D90" w:rsidP="00131A9D"/>
    <w:p w14:paraId="5F770DEF" w14:textId="584D8CFF" w:rsidR="008A3513" w:rsidRDefault="008A3513" w:rsidP="00953154">
      <w:pPr>
        <w:rPr>
          <w:rFonts w:cs="Times New Roman"/>
          <w:szCs w:val="28"/>
        </w:rPr>
      </w:pPr>
    </w:p>
    <w:sectPr w:rsidR="008A3513" w:rsidSect="00BC2BD9">
      <w:footerReference w:type="default" r:id="rId9"/>
      <w:type w:val="continuous"/>
      <w:pgSz w:w="11907" w:h="16840" w:code="9"/>
      <w:pgMar w:top="1134" w:right="1134" w:bottom="851" w:left="1701" w:header="567" w:footer="454" w:gutter="0"/>
      <w:pgNumType w:start="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E38E8" w14:textId="77777777" w:rsidR="00130BF3" w:rsidRDefault="00130BF3" w:rsidP="00D86156">
      <w:pPr>
        <w:spacing w:before="0" w:after="0" w:line="240" w:lineRule="auto"/>
      </w:pPr>
      <w:r>
        <w:separator/>
      </w:r>
    </w:p>
  </w:endnote>
  <w:endnote w:type="continuationSeparator" w:id="0">
    <w:p w14:paraId="438CFB54" w14:textId="77777777" w:rsidR="00130BF3" w:rsidRDefault="00130BF3" w:rsidP="00D861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77736"/>
      <w:docPartObj>
        <w:docPartGallery w:val="Page Numbers (Bottom of Page)"/>
        <w:docPartUnique/>
      </w:docPartObj>
    </w:sdtPr>
    <w:sdtEndPr>
      <w:rPr>
        <w:noProof/>
      </w:rPr>
    </w:sdtEndPr>
    <w:sdtContent>
      <w:p w14:paraId="02D216A0" w14:textId="1C4FEB17" w:rsidR="008E4154" w:rsidRDefault="008E4154" w:rsidP="00D86156">
        <w:pPr>
          <w:pStyle w:val="Footer"/>
          <w:jc w:val="right"/>
        </w:pPr>
        <w:r>
          <w:fldChar w:fldCharType="begin"/>
        </w:r>
        <w:r>
          <w:instrText xml:space="preserve"> PAGE   \* MERGEFORMAT </w:instrText>
        </w:r>
        <w:r>
          <w:fldChar w:fldCharType="separate"/>
        </w:r>
        <w:r w:rsidR="00587A2A">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214101"/>
      <w:docPartObj>
        <w:docPartGallery w:val="Page Numbers (Bottom of Page)"/>
        <w:docPartUnique/>
      </w:docPartObj>
    </w:sdtPr>
    <w:sdtEndPr>
      <w:rPr>
        <w:noProof/>
      </w:rPr>
    </w:sdtEndPr>
    <w:sdtContent>
      <w:p w14:paraId="02D216A1" w14:textId="00BC5AF9" w:rsidR="008E4154" w:rsidRDefault="008E4154" w:rsidP="00D86156">
        <w:pPr>
          <w:pStyle w:val="Footer"/>
          <w:jc w:val="right"/>
        </w:pPr>
        <w:r>
          <w:fldChar w:fldCharType="begin"/>
        </w:r>
        <w:r>
          <w:instrText xml:space="preserve"> PAGE   \* MERGEFORMAT </w:instrText>
        </w:r>
        <w:r>
          <w:fldChar w:fldCharType="separate"/>
        </w:r>
        <w:r w:rsidR="00587A2A">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E199C" w14:textId="77777777" w:rsidR="00130BF3" w:rsidRDefault="00130BF3" w:rsidP="00D86156">
      <w:pPr>
        <w:spacing w:before="0" w:after="0" w:line="240" w:lineRule="auto"/>
      </w:pPr>
      <w:r>
        <w:separator/>
      </w:r>
    </w:p>
  </w:footnote>
  <w:footnote w:type="continuationSeparator" w:id="0">
    <w:p w14:paraId="062E6466" w14:textId="77777777" w:rsidR="00130BF3" w:rsidRDefault="00130BF3" w:rsidP="00D8615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1381"/>
    <w:multiLevelType w:val="hybridMultilevel"/>
    <w:tmpl w:val="527CF3A6"/>
    <w:lvl w:ilvl="0" w:tplc="F66E924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1DF451EE"/>
    <w:multiLevelType w:val="hybridMultilevel"/>
    <w:tmpl w:val="56A45F70"/>
    <w:lvl w:ilvl="0" w:tplc="0B74C3C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20627DCC"/>
    <w:multiLevelType w:val="hybridMultilevel"/>
    <w:tmpl w:val="D16008AA"/>
    <w:lvl w:ilvl="0" w:tplc="80166D40">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7A78C2"/>
    <w:multiLevelType w:val="hybridMultilevel"/>
    <w:tmpl w:val="A306A9FC"/>
    <w:lvl w:ilvl="0" w:tplc="AA84376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408872EE"/>
    <w:multiLevelType w:val="hybridMultilevel"/>
    <w:tmpl w:val="B7A02D6C"/>
    <w:lvl w:ilvl="0" w:tplc="D4E25D74">
      <w:start w:val="3"/>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15:restartNumberingAfterBreak="0">
    <w:nsid w:val="4A921427"/>
    <w:multiLevelType w:val="hybridMultilevel"/>
    <w:tmpl w:val="9EF482A6"/>
    <w:lvl w:ilvl="0" w:tplc="B60C6AC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8C"/>
    <w:rsid w:val="00001031"/>
    <w:rsid w:val="000030D4"/>
    <w:rsid w:val="00006BB8"/>
    <w:rsid w:val="0001040B"/>
    <w:rsid w:val="000136C7"/>
    <w:rsid w:val="00017355"/>
    <w:rsid w:val="00023266"/>
    <w:rsid w:val="00023401"/>
    <w:rsid w:val="00024B3B"/>
    <w:rsid w:val="00027454"/>
    <w:rsid w:val="0003116D"/>
    <w:rsid w:val="000320AA"/>
    <w:rsid w:val="000367BC"/>
    <w:rsid w:val="00040DC9"/>
    <w:rsid w:val="000422EF"/>
    <w:rsid w:val="00044EF4"/>
    <w:rsid w:val="00046BE4"/>
    <w:rsid w:val="0005474A"/>
    <w:rsid w:val="00055EEC"/>
    <w:rsid w:val="00065A9C"/>
    <w:rsid w:val="0007018E"/>
    <w:rsid w:val="0007032F"/>
    <w:rsid w:val="00071A7A"/>
    <w:rsid w:val="00072349"/>
    <w:rsid w:val="00075403"/>
    <w:rsid w:val="00077B59"/>
    <w:rsid w:val="00084003"/>
    <w:rsid w:val="00084A2B"/>
    <w:rsid w:val="00084F72"/>
    <w:rsid w:val="00087698"/>
    <w:rsid w:val="0009014B"/>
    <w:rsid w:val="000930DE"/>
    <w:rsid w:val="00093988"/>
    <w:rsid w:val="0009649B"/>
    <w:rsid w:val="000A55ED"/>
    <w:rsid w:val="000A7FC7"/>
    <w:rsid w:val="000C04A4"/>
    <w:rsid w:val="000D3640"/>
    <w:rsid w:val="000D5E7D"/>
    <w:rsid w:val="000E02C0"/>
    <w:rsid w:val="000E3C9D"/>
    <w:rsid w:val="000F326A"/>
    <w:rsid w:val="00101057"/>
    <w:rsid w:val="00101EBD"/>
    <w:rsid w:val="0010409C"/>
    <w:rsid w:val="00105370"/>
    <w:rsid w:val="001077FE"/>
    <w:rsid w:val="0011032E"/>
    <w:rsid w:val="00112B34"/>
    <w:rsid w:val="00115CF4"/>
    <w:rsid w:val="00116553"/>
    <w:rsid w:val="001167F6"/>
    <w:rsid w:val="00121074"/>
    <w:rsid w:val="00121E10"/>
    <w:rsid w:val="00130BF3"/>
    <w:rsid w:val="00130EC6"/>
    <w:rsid w:val="00131A9D"/>
    <w:rsid w:val="00135EDC"/>
    <w:rsid w:val="00136FD4"/>
    <w:rsid w:val="00144385"/>
    <w:rsid w:val="00145BCA"/>
    <w:rsid w:val="0014667D"/>
    <w:rsid w:val="00160822"/>
    <w:rsid w:val="00160D77"/>
    <w:rsid w:val="00161B7B"/>
    <w:rsid w:val="001706D9"/>
    <w:rsid w:val="00177470"/>
    <w:rsid w:val="00185C10"/>
    <w:rsid w:val="00186B9E"/>
    <w:rsid w:val="001949AE"/>
    <w:rsid w:val="0019598C"/>
    <w:rsid w:val="001A3B5C"/>
    <w:rsid w:val="001B6EA0"/>
    <w:rsid w:val="001C1ADF"/>
    <w:rsid w:val="001C6423"/>
    <w:rsid w:val="001C70ED"/>
    <w:rsid w:val="001D0BE8"/>
    <w:rsid w:val="001D694B"/>
    <w:rsid w:val="001E07F0"/>
    <w:rsid w:val="001E4583"/>
    <w:rsid w:val="001F63BD"/>
    <w:rsid w:val="001F734B"/>
    <w:rsid w:val="00200E9B"/>
    <w:rsid w:val="002021AB"/>
    <w:rsid w:val="00211868"/>
    <w:rsid w:val="00211D86"/>
    <w:rsid w:val="00213912"/>
    <w:rsid w:val="00220E0E"/>
    <w:rsid w:val="00221B7A"/>
    <w:rsid w:val="00224E0A"/>
    <w:rsid w:val="00233D90"/>
    <w:rsid w:val="00234197"/>
    <w:rsid w:val="002342B4"/>
    <w:rsid w:val="0023487C"/>
    <w:rsid w:val="00245393"/>
    <w:rsid w:val="00247E9B"/>
    <w:rsid w:val="002501CA"/>
    <w:rsid w:val="00251995"/>
    <w:rsid w:val="00253507"/>
    <w:rsid w:val="0025549A"/>
    <w:rsid w:val="00260388"/>
    <w:rsid w:val="00260CD1"/>
    <w:rsid w:val="0026273B"/>
    <w:rsid w:val="00263F2C"/>
    <w:rsid w:val="00263FFE"/>
    <w:rsid w:val="00265560"/>
    <w:rsid w:val="00266325"/>
    <w:rsid w:val="00277F42"/>
    <w:rsid w:val="0028044B"/>
    <w:rsid w:val="00282447"/>
    <w:rsid w:val="00290914"/>
    <w:rsid w:val="002A6435"/>
    <w:rsid w:val="002B02E1"/>
    <w:rsid w:val="002B1078"/>
    <w:rsid w:val="002B14D3"/>
    <w:rsid w:val="002B2531"/>
    <w:rsid w:val="002B493F"/>
    <w:rsid w:val="002B758B"/>
    <w:rsid w:val="002B7596"/>
    <w:rsid w:val="002C04C8"/>
    <w:rsid w:val="002D46FE"/>
    <w:rsid w:val="002D4723"/>
    <w:rsid w:val="002E1710"/>
    <w:rsid w:val="002E2D23"/>
    <w:rsid w:val="002E350A"/>
    <w:rsid w:val="002E56E2"/>
    <w:rsid w:val="002E71F6"/>
    <w:rsid w:val="002E75EC"/>
    <w:rsid w:val="00301477"/>
    <w:rsid w:val="003041E8"/>
    <w:rsid w:val="00304C21"/>
    <w:rsid w:val="00306EFD"/>
    <w:rsid w:val="00327947"/>
    <w:rsid w:val="00330AE5"/>
    <w:rsid w:val="00331EA1"/>
    <w:rsid w:val="00343510"/>
    <w:rsid w:val="00347F3F"/>
    <w:rsid w:val="003520B9"/>
    <w:rsid w:val="003528E4"/>
    <w:rsid w:val="00354566"/>
    <w:rsid w:val="00355A2E"/>
    <w:rsid w:val="003627A0"/>
    <w:rsid w:val="0036587E"/>
    <w:rsid w:val="00373926"/>
    <w:rsid w:val="0037498B"/>
    <w:rsid w:val="00381FE0"/>
    <w:rsid w:val="00384C09"/>
    <w:rsid w:val="003850DE"/>
    <w:rsid w:val="00387D17"/>
    <w:rsid w:val="00391C4D"/>
    <w:rsid w:val="003942EC"/>
    <w:rsid w:val="003A34CF"/>
    <w:rsid w:val="003B7D18"/>
    <w:rsid w:val="003C2983"/>
    <w:rsid w:val="003C36AB"/>
    <w:rsid w:val="003C6FC9"/>
    <w:rsid w:val="003D2CB8"/>
    <w:rsid w:val="003D73B1"/>
    <w:rsid w:val="003E28D7"/>
    <w:rsid w:val="003F0BC4"/>
    <w:rsid w:val="003F579F"/>
    <w:rsid w:val="003F6EB4"/>
    <w:rsid w:val="00402DBF"/>
    <w:rsid w:val="00403DDF"/>
    <w:rsid w:val="00412408"/>
    <w:rsid w:val="0042300C"/>
    <w:rsid w:val="00433614"/>
    <w:rsid w:val="00434C75"/>
    <w:rsid w:val="00440A42"/>
    <w:rsid w:val="00442CAB"/>
    <w:rsid w:val="00444A47"/>
    <w:rsid w:val="004479F1"/>
    <w:rsid w:val="00452005"/>
    <w:rsid w:val="0046280E"/>
    <w:rsid w:val="004639A8"/>
    <w:rsid w:val="0046527F"/>
    <w:rsid w:val="0046717F"/>
    <w:rsid w:val="00467BFD"/>
    <w:rsid w:val="00471370"/>
    <w:rsid w:val="004742CF"/>
    <w:rsid w:val="004752F8"/>
    <w:rsid w:val="004761A5"/>
    <w:rsid w:val="00483E3D"/>
    <w:rsid w:val="004857E3"/>
    <w:rsid w:val="00487184"/>
    <w:rsid w:val="004920DE"/>
    <w:rsid w:val="004924C0"/>
    <w:rsid w:val="00492BF5"/>
    <w:rsid w:val="00496D7D"/>
    <w:rsid w:val="004A3C53"/>
    <w:rsid w:val="004A4B03"/>
    <w:rsid w:val="004A7550"/>
    <w:rsid w:val="004C03B5"/>
    <w:rsid w:val="004C1166"/>
    <w:rsid w:val="004C227D"/>
    <w:rsid w:val="004C2DF5"/>
    <w:rsid w:val="004C3E34"/>
    <w:rsid w:val="004C4CF1"/>
    <w:rsid w:val="004C5A14"/>
    <w:rsid w:val="004C71D9"/>
    <w:rsid w:val="004D11A8"/>
    <w:rsid w:val="004D29E7"/>
    <w:rsid w:val="004E1958"/>
    <w:rsid w:val="004E2B67"/>
    <w:rsid w:val="004E5E54"/>
    <w:rsid w:val="004E7007"/>
    <w:rsid w:val="004F2E9E"/>
    <w:rsid w:val="004F300E"/>
    <w:rsid w:val="005027E6"/>
    <w:rsid w:val="00502AC8"/>
    <w:rsid w:val="0051003C"/>
    <w:rsid w:val="005124F5"/>
    <w:rsid w:val="00514773"/>
    <w:rsid w:val="00530A82"/>
    <w:rsid w:val="00530EA8"/>
    <w:rsid w:val="0053277A"/>
    <w:rsid w:val="00541026"/>
    <w:rsid w:val="00543F20"/>
    <w:rsid w:val="00544FB1"/>
    <w:rsid w:val="00545705"/>
    <w:rsid w:val="00551A07"/>
    <w:rsid w:val="005525DC"/>
    <w:rsid w:val="00553BE1"/>
    <w:rsid w:val="0055577F"/>
    <w:rsid w:val="0056592E"/>
    <w:rsid w:val="00565F63"/>
    <w:rsid w:val="0056756F"/>
    <w:rsid w:val="00571ACA"/>
    <w:rsid w:val="00573C21"/>
    <w:rsid w:val="00574207"/>
    <w:rsid w:val="00575EF3"/>
    <w:rsid w:val="00576422"/>
    <w:rsid w:val="00577BE3"/>
    <w:rsid w:val="005806F5"/>
    <w:rsid w:val="00580A45"/>
    <w:rsid w:val="00580E30"/>
    <w:rsid w:val="005846E2"/>
    <w:rsid w:val="00587A2A"/>
    <w:rsid w:val="00590DB7"/>
    <w:rsid w:val="0059236B"/>
    <w:rsid w:val="005A2E7B"/>
    <w:rsid w:val="005A776C"/>
    <w:rsid w:val="005B514E"/>
    <w:rsid w:val="005B795E"/>
    <w:rsid w:val="005C214E"/>
    <w:rsid w:val="005C2DA1"/>
    <w:rsid w:val="005D317C"/>
    <w:rsid w:val="005D3EF2"/>
    <w:rsid w:val="005D7871"/>
    <w:rsid w:val="005E3DA8"/>
    <w:rsid w:val="005E6010"/>
    <w:rsid w:val="005F037D"/>
    <w:rsid w:val="005F049E"/>
    <w:rsid w:val="005F0F5A"/>
    <w:rsid w:val="00603A62"/>
    <w:rsid w:val="0060628C"/>
    <w:rsid w:val="006116C0"/>
    <w:rsid w:val="00617748"/>
    <w:rsid w:val="0062170F"/>
    <w:rsid w:val="00623A22"/>
    <w:rsid w:val="006265F8"/>
    <w:rsid w:val="00627CA5"/>
    <w:rsid w:val="00637D55"/>
    <w:rsid w:val="00645BFF"/>
    <w:rsid w:val="006506EA"/>
    <w:rsid w:val="00652462"/>
    <w:rsid w:val="006535E4"/>
    <w:rsid w:val="00657836"/>
    <w:rsid w:val="00661374"/>
    <w:rsid w:val="006624E2"/>
    <w:rsid w:val="00665FA5"/>
    <w:rsid w:val="006663DD"/>
    <w:rsid w:val="0066708E"/>
    <w:rsid w:val="0066714A"/>
    <w:rsid w:val="00670339"/>
    <w:rsid w:val="00682D2A"/>
    <w:rsid w:val="00685718"/>
    <w:rsid w:val="00685F4F"/>
    <w:rsid w:val="0068630A"/>
    <w:rsid w:val="006917FD"/>
    <w:rsid w:val="00691C8D"/>
    <w:rsid w:val="00693426"/>
    <w:rsid w:val="006A2EB1"/>
    <w:rsid w:val="006A38EE"/>
    <w:rsid w:val="006A6D00"/>
    <w:rsid w:val="006A7B7D"/>
    <w:rsid w:val="006B6521"/>
    <w:rsid w:val="006B7760"/>
    <w:rsid w:val="006C1597"/>
    <w:rsid w:val="006C1C77"/>
    <w:rsid w:val="006C4A8A"/>
    <w:rsid w:val="006D774E"/>
    <w:rsid w:val="006D7793"/>
    <w:rsid w:val="006E0CBA"/>
    <w:rsid w:val="006E0F0E"/>
    <w:rsid w:val="006E4CCA"/>
    <w:rsid w:val="006E59F5"/>
    <w:rsid w:val="006E76EA"/>
    <w:rsid w:val="006F08E6"/>
    <w:rsid w:val="006F7C50"/>
    <w:rsid w:val="0070539E"/>
    <w:rsid w:val="007073E5"/>
    <w:rsid w:val="0071139D"/>
    <w:rsid w:val="00716DFD"/>
    <w:rsid w:val="0072030D"/>
    <w:rsid w:val="007320F8"/>
    <w:rsid w:val="00745728"/>
    <w:rsid w:val="00745E8C"/>
    <w:rsid w:val="00750D47"/>
    <w:rsid w:val="00751200"/>
    <w:rsid w:val="007513F7"/>
    <w:rsid w:val="00753DB2"/>
    <w:rsid w:val="007750C8"/>
    <w:rsid w:val="0077521F"/>
    <w:rsid w:val="007756E0"/>
    <w:rsid w:val="007761CA"/>
    <w:rsid w:val="007A1032"/>
    <w:rsid w:val="007B2897"/>
    <w:rsid w:val="007B559F"/>
    <w:rsid w:val="007B7051"/>
    <w:rsid w:val="007C1EB5"/>
    <w:rsid w:val="007C3D22"/>
    <w:rsid w:val="007C5BC0"/>
    <w:rsid w:val="007C7E85"/>
    <w:rsid w:val="007D549E"/>
    <w:rsid w:val="007E21FE"/>
    <w:rsid w:val="007F177E"/>
    <w:rsid w:val="00803D45"/>
    <w:rsid w:val="00805B04"/>
    <w:rsid w:val="0080646E"/>
    <w:rsid w:val="00816578"/>
    <w:rsid w:val="00826A14"/>
    <w:rsid w:val="00833984"/>
    <w:rsid w:val="0084005F"/>
    <w:rsid w:val="00842823"/>
    <w:rsid w:val="00844134"/>
    <w:rsid w:val="00845985"/>
    <w:rsid w:val="0085029E"/>
    <w:rsid w:val="008532BF"/>
    <w:rsid w:val="00854212"/>
    <w:rsid w:val="00855846"/>
    <w:rsid w:val="00857B4A"/>
    <w:rsid w:val="00860E39"/>
    <w:rsid w:val="00863E8B"/>
    <w:rsid w:val="0087161C"/>
    <w:rsid w:val="00877AD9"/>
    <w:rsid w:val="008806B8"/>
    <w:rsid w:val="00880C85"/>
    <w:rsid w:val="00880CEC"/>
    <w:rsid w:val="008815DD"/>
    <w:rsid w:val="00882876"/>
    <w:rsid w:val="00884A93"/>
    <w:rsid w:val="0088777F"/>
    <w:rsid w:val="0089259D"/>
    <w:rsid w:val="00892A4D"/>
    <w:rsid w:val="008967A4"/>
    <w:rsid w:val="00897338"/>
    <w:rsid w:val="008A3513"/>
    <w:rsid w:val="008B2DE2"/>
    <w:rsid w:val="008C1085"/>
    <w:rsid w:val="008C1B5E"/>
    <w:rsid w:val="008D00F4"/>
    <w:rsid w:val="008D09E1"/>
    <w:rsid w:val="008E0351"/>
    <w:rsid w:val="008E19E3"/>
    <w:rsid w:val="008E2750"/>
    <w:rsid w:val="008E3795"/>
    <w:rsid w:val="008E4154"/>
    <w:rsid w:val="008E4751"/>
    <w:rsid w:val="008F20AA"/>
    <w:rsid w:val="008F5C32"/>
    <w:rsid w:val="00900A7D"/>
    <w:rsid w:val="00901CB7"/>
    <w:rsid w:val="0090325B"/>
    <w:rsid w:val="00904FCD"/>
    <w:rsid w:val="009104CF"/>
    <w:rsid w:val="00912DE5"/>
    <w:rsid w:val="009139DE"/>
    <w:rsid w:val="0091462E"/>
    <w:rsid w:val="00916F74"/>
    <w:rsid w:val="00923FB0"/>
    <w:rsid w:val="00926CB6"/>
    <w:rsid w:val="0093059A"/>
    <w:rsid w:val="00931FD4"/>
    <w:rsid w:val="00932684"/>
    <w:rsid w:val="00940493"/>
    <w:rsid w:val="009415AA"/>
    <w:rsid w:val="009419E8"/>
    <w:rsid w:val="00953154"/>
    <w:rsid w:val="009604F6"/>
    <w:rsid w:val="00961BAD"/>
    <w:rsid w:val="00962215"/>
    <w:rsid w:val="00964466"/>
    <w:rsid w:val="00964876"/>
    <w:rsid w:val="00980AF6"/>
    <w:rsid w:val="00985231"/>
    <w:rsid w:val="009859B3"/>
    <w:rsid w:val="00994261"/>
    <w:rsid w:val="00994359"/>
    <w:rsid w:val="009A4374"/>
    <w:rsid w:val="009A763C"/>
    <w:rsid w:val="009B16BE"/>
    <w:rsid w:val="009B39AA"/>
    <w:rsid w:val="009B6728"/>
    <w:rsid w:val="009C6B50"/>
    <w:rsid w:val="009C7B73"/>
    <w:rsid w:val="009D1DBD"/>
    <w:rsid w:val="009D1E48"/>
    <w:rsid w:val="009D4DAB"/>
    <w:rsid w:val="009D5FF3"/>
    <w:rsid w:val="009E055A"/>
    <w:rsid w:val="009E1B7D"/>
    <w:rsid w:val="009E1B8E"/>
    <w:rsid w:val="009E533C"/>
    <w:rsid w:val="009E7198"/>
    <w:rsid w:val="009F121E"/>
    <w:rsid w:val="009F1D46"/>
    <w:rsid w:val="00A051B7"/>
    <w:rsid w:val="00A117A9"/>
    <w:rsid w:val="00A21496"/>
    <w:rsid w:val="00A21DDB"/>
    <w:rsid w:val="00A24185"/>
    <w:rsid w:val="00A25191"/>
    <w:rsid w:val="00A255BB"/>
    <w:rsid w:val="00A34DD2"/>
    <w:rsid w:val="00A35758"/>
    <w:rsid w:val="00A36317"/>
    <w:rsid w:val="00A37173"/>
    <w:rsid w:val="00A4136D"/>
    <w:rsid w:val="00A54E4F"/>
    <w:rsid w:val="00A602BF"/>
    <w:rsid w:val="00A61156"/>
    <w:rsid w:val="00A617C6"/>
    <w:rsid w:val="00A64077"/>
    <w:rsid w:val="00A67501"/>
    <w:rsid w:val="00A708B0"/>
    <w:rsid w:val="00A802E4"/>
    <w:rsid w:val="00A80C1D"/>
    <w:rsid w:val="00A80D43"/>
    <w:rsid w:val="00A8140E"/>
    <w:rsid w:val="00A84FAE"/>
    <w:rsid w:val="00A87270"/>
    <w:rsid w:val="00A923C2"/>
    <w:rsid w:val="00A974B3"/>
    <w:rsid w:val="00AA235D"/>
    <w:rsid w:val="00AA3E59"/>
    <w:rsid w:val="00AB6617"/>
    <w:rsid w:val="00AB7405"/>
    <w:rsid w:val="00AB7AAD"/>
    <w:rsid w:val="00AB7DD1"/>
    <w:rsid w:val="00AD01C6"/>
    <w:rsid w:val="00AD12DA"/>
    <w:rsid w:val="00AD240B"/>
    <w:rsid w:val="00AD450C"/>
    <w:rsid w:val="00AD5411"/>
    <w:rsid w:val="00AD602A"/>
    <w:rsid w:val="00AD6B42"/>
    <w:rsid w:val="00AE2C8C"/>
    <w:rsid w:val="00AE2F23"/>
    <w:rsid w:val="00AE4032"/>
    <w:rsid w:val="00AF28F4"/>
    <w:rsid w:val="00AF2BC2"/>
    <w:rsid w:val="00AF3249"/>
    <w:rsid w:val="00AF36DC"/>
    <w:rsid w:val="00AF4971"/>
    <w:rsid w:val="00AF797C"/>
    <w:rsid w:val="00B052AE"/>
    <w:rsid w:val="00B05420"/>
    <w:rsid w:val="00B1083B"/>
    <w:rsid w:val="00B23FCB"/>
    <w:rsid w:val="00B25C78"/>
    <w:rsid w:val="00B3458F"/>
    <w:rsid w:val="00B34BFB"/>
    <w:rsid w:val="00B34CF0"/>
    <w:rsid w:val="00B35E0D"/>
    <w:rsid w:val="00B413AA"/>
    <w:rsid w:val="00B443B1"/>
    <w:rsid w:val="00B47940"/>
    <w:rsid w:val="00B5124E"/>
    <w:rsid w:val="00B527AE"/>
    <w:rsid w:val="00B53B8C"/>
    <w:rsid w:val="00B554A7"/>
    <w:rsid w:val="00B604BF"/>
    <w:rsid w:val="00B60E4D"/>
    <w:rsid w:val="00B664AE"/>
    <w:rsid w:val="00B7472C"/>
    <w:rsid w:val="00B75650"/>
    <w:rsid w:val="00B8578B"/>
    <w:rsid w:val="00B92322"/>
    <w:rsid w:val="00B94A83"/>
    <w:rsid w:val="00BB456D"/>
    <w:rsid w:val="00BB760C"/>
    <w:rsid w:val="00BC0218"/>
    <w:rsid w:val="00BC2BD9"/>
    <w:rsid w:val="00BC2D6D"/>
    <w:rsid w:val="00BC4726"/>
    <w:rsid w:val="00BC4B39"/>
    <w:rsid w:val="00BD1B98"/>
    <w:rsid w:val="00BD1C7B"/>
    <w:rsid w:val="00BD265C"/>
    <w:rsid w:val="00BD3B95"/>
    <w:rsid w:val="00BD6E1F"/>
    <w:rsid w:val="00BE148A"/>
    <w:rsid w:val="00BE3079"/>
    <w:rsid w:val="00BE4499"/>
    <w:rsid w:val="00BE7AC2"/>
    <w:rsid w:val="00BF0324"/>
    <w:rsid w:val="00BF1F4E"/>
    <w:rsid w:val="00BF428F"/>
    <w:rsid w:val="00BF570A"/>
    <w:rsid w:val="00BF6A8E"/>
    <w:rsid w:val="00C04770"/>
    <w:rsid w:val="00C05896"/>
    <w:rsid w:val="00C059AD"/>
    <w:rsid w:val="00C063B2"/>
    <w:rsid w:val="00C20958"/>
    <w:rsid w:val="00C21620"/>
    <w:rsid w:val="00C2233E"/>
    <w:rsid w:val="00C24724"/>
    <w:rsid w:val="00C25496"/>
    <w:rsid w:val="00C4088E"/>
    <w:rsid w:val="00C41708"/>
    <w:rsid w:val="00C43253"/>
    <w:rsid w:val="00C44C20"/>
    <w:rsid w:val="00C45289"/>
    <w:rsid w:val="00C53AF9"/>
    <w:rsid w:val="00C54EFC"/>
    <w:rsid w:val="00C575B2"/>
    <w:rsid w:val="00C72136"/>
    <w:rsid w:val="00C823CA"/>
    <w:rsid w:val="00C85F34"/>
    <w:rsid w:val="00C866AD"/>
    <w:rsid w:val="00C87844"/>
    <w:rsid w:val="00C93913"/>
    <w:rsid w:val="00C95970"/>
    <w:rsid w:val="00CA22D3"/>
    <w:rsid w:val="00CA32BF"/>
    <w:rsid w:val="00CA4FD2"/>
    <w:rsid w:val="00CB054A"/>
    <w:rsid w:val="00CB0578"/>
    <w:rsid w:val="00CB1054"/>
    <w:rsid w:val="00CB5FDB"/>
    <w:rsid w:val="00CC03FC"/>
    <w:rsid w:val="00CC206C"/>
    <w:rsid w:val="00CC2127"/>
    <w:rsid w:val="00CC6A77"/>
    <w:rsid w:val="00CD02A7"/>
    <w:rsid w:val="00CD0730"/>
    <w:rsid w:val="00CD6521"/>
    <w:rsid w:val="00CE2A50"/>
    <w:rsid w:val="00CE30F0"/>
    <w:rsid w:val="00CE3BA5"/>
    <w:rsid w:val="00CF01AB"/>
    <w:rsid w:val="00CF0B91"/>
    <w:rsid w:val="00CF4CAB"/>
    <w:rsid w:val="00CF4E7E"/>
    <w:rsid w:val="00D01A43"/>
    <w:rsid w:val="00D06D01"/>
    <w:rsid w:val="00D07F62"/>
    <w:rsid w:val="00D142C8"/>
    <w:rsid w:val="00D15F58"/>
    <w:rsid w:val="00D20FBB"/>
    <w:rsid w:val="00D25CB8"/>
    <w:rsid w:val="00D367FC"/>
    <w:rsid w:val="00D41C47"/>
    <w:rsid w:val="00D41F62"/>
    <w:rsid w:val="00D51EE7"/>
    <w:rsid w:val="00D54995"/>
    <w:rsid w:val="00D60FCF"/>
    <w:rsid w:val="00D611DA"/>
    <w:rsid w:val="00D656F5"/>
    <w:rsid w:val="00D70FA9"/>
    <w:rsid w:val="00D81FD4"/>
    <w:rsid w:val="00D82491"/>
    <w:rsid w:val="00D86156"/>
    <w:rsid w:val="00D86934"/>
    <w:rsid w:val="00D87AD6"/>
    <w:rsid w:val="00DA4023"/>
    <w:rsid w:val="00DA42E0"/>
    <w:rsid w:val="00DA64B9"/>
    <w:rsid w:val="00DA7E8A"/>
    <w:rsid w:val="00DB13CE"/>
    <w:rsid w:val="00DB4627"/>
    <w:rsid w:val="00DB545A"/>
    <w:rsid w:val="00DC05B9"/>
    <w:rsid w:val="00DC4A87"/>
    <w:rsid w:val="00DC6E1E"/>
    <w:rsid w:val="00DC76A5"/>
    <w:rsid w:val="00DE30D3"/>
    <w:rsid w:val="00DE41D0"/>
    <w:rsid w:val="00DE52C5"/>
    <w:rsid w:val="00DE5BD2"/>
    <w:rsid w:val="00DE65FB"/>
    <w:rsid w:val="00DE691A"/>
    <w:rsid w:val="00DF0A10"/>
    <w:rsid w:val="00DF0F6C"/>
    <w:rsid w:val="00E01138"/>
    <w:rsid w:val="00E01422"/>
    <w:rsid w:val="00E01CF3"/>
    <w:rsid w:val="00E0220D"/>
    <w:rsid w:val="00E05923"/>
    <w:rsid w:val="00E0637D"/>
    <w:rsid w:val="00E06DCB"/>
    <w:rsid w:val="00E2794E"/>
    <w:rsid w:val="00E3414A"/>
    <w:rsid w:val="00E341D6"/>
    <w:rsid w:val="00E36244"/>
    <w:rsid w:val="00E4024D"/>
    <w:rsid w:val="00E41682"/>
    <w:rsid w:val="00E5506F"/>
    <w:rsid w:val="00E628BC"/>
    <w:rsid w:val="00E63B74"/>
    <w:rsid w:val="00E64040"/>
    <w:rsid w:val="00E73034"/>
    <w:rsid w:val="00E80A37"/>
    <w:rsid w:val="00E826A1"/>
    <w:rsid w:val="00E837C4"/>
    <w:rsid w:val="00E847B0"/>
    <w:rsid w:val="00E868E4"/>
    <w:rsid w:val="00E90DDF"/>
    <w:rsid w:val="00E92782"/>
    <w:rsid w:val="00E96A30"/>
    <w:rsid w:val="00E96A5B"/>
    <w:rsid w:val="00E973A2"/>
    <w:rsid w:val="00EB0B9B"/>
    <w:rsid w:val="00EB1D81"/>
    <w:rsid w:val="00EB4D9C"/>
    <w:rsid w:val="00EB511A"/>
    <w:rsid w:val="00EC1ACF"/>
    <w:rsid w:val="00ED15B4"/>
    <w:rsid w:val="00ED3CCF"/>
    <w:rsid w:val="00EE23C0"/>
    <w:rsid w:val="00EE77D2"/>
    <w:rsid w:val="00EF4D8C"/>
    <w:rsid w:val="00F042F3"/>
    <w:rsid w:val="00F04DE7"/>
    <w:rsid w:val="00F05545"/>
    <w:rsid w:val="00F11CE2"/>
    <w:rsid w:val="00F17FED"/>
    <w:rsid w:val="00F218A6"/>
    <w:rsid w:val="00F23A9D"/>
    <w:rsid w:val="00F257D0"/>
    <w:rsid w:val="00F26002"/>
    <w:rsid w:val="00F3032B"/>
    <w:rsid w:val="00F30722"/>
    <w:rsid w:val="00F35A50"/>
    <w:rsid w:val="00F3674F"/>
    <w:rsid w:val="00F41CE3"/>
    <w:rsid w:val="00F4235A"/>
    <w:rsid w:val="00F470F6"/>
    <w:rsid w:val="00F47B90"/>
    <w:rsid w:val="00F47F3E"/>
    <w:rsid w:val="00F5161B"/>
    <w:rsid w:val="00F51C73"/>
    <w:rsid w:val="00F52452"/>
    <w:rsid w:val="00F617F8"/>
    <w:rsid w:val="00F61A4B"/>
    <w:rsid w:val="00F80864"/>
    <w:rsid w:val="00F81C4E"/>
    <w:rsid w:val="00F90877"/>
    <w:rsid w:val="00F91C2B"/>
    <w:rsid w:val="00F956C0"/>
    <w:rsid w:val="00FA024F"/>
    <w:rsid w:val="00FA32D1"/>
    <w:rsid w:val="00FA32FE"/>
    <w:rsid w:val="00FA4FEB"/>
    <w:rsid w:val="00FA776D"/>
    <w:rsid w:val="00FB346A"/>
    <w:rsid w:val="00FB3926"/>
    <w:rsid w:val="00FB4537"/>
    <w:rsid w:val="00FB5EBB"/>
    <w:rsid w:val="00FB7080"/>
    <w:rsid w:val="00FC063B"/>
    <w:rsid w:val="00FC0BEA"/>
    <w:rsid w:val="00FC11F3"/>
    <w:rsid w:val="00FC4FA8"/>
    <w:rsid w:val="00FC5967"/>
    <w:rsid w:val="00FC6194"/>
    <w:rsid w:val="00FC6674"/>
    <w:rsid w:val="00FD0043"/>
    <w:rsid w:val="00FD336C"/>
    <w:rsid w:val="00FE14FE"/>
    <w:rsid w:val="00FE1CAD"/>
    <w:rsid w:val="00FE2C44"/>
    <w:rsid w:val="00FE3D91"/>
    <w:rsid w:val="00FE413B"/>
    <w:rsid w:val="00FE4D53"/>
    <w:rsid w:val="00FE5C3A"/>
    <w:rsid w:val="00FF03F6"/>
    <w:rsid w:val="00FF06FF"/>
    <w:rsid w:val="00FF134E"/>
    <w:rsid w:val="00FF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214F7"/>
  <w15:docId w15:val="{E271BB29-9AC0-4FB3-9F4C-96E1E4CC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288"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E8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0F5A"/>
    <w:pPr>
      <w:spacing w:before="100" w:beforeAutospacing="1" w:after="100" w:afterAutospacing="1" w:line="240" w:lineRule="auto"/>
      <w:ind w:firstLine="0"/>
      <w:jc w:val="left"/>
    </w:pPr>
    <w:rPr>
      <w:rFonts w:eastAsia="Times New Roman" w:cs="Times New Roman"/>
      <w:sz w:val="24"/>
      <w:szCs w:val="24"/>
    </w:rPr>
  </w:style>
  <w:style w:type="paragraph" w:styleId="Header">
    <w:name w:val="header"/>
    <w:basedOn w:val="Normal"/>
    <w:link w:val="HeaderChar"/>
    <w:uiPriority w:val="99"/>
    <w:unhideWhenUsed/>
    <w:rsid w:val="00D8615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86156"/>
  </w:style>
  <w:style w:type="paragraph" w:styleId="Footer">
    <w:name w:val="footer"/>
    <w:basedOn w:val="Normal"/>
    <w:link w:val="FooterChar"/>
    <w:uiPriority w:val="99"/>
    <w:unhideWhenUsed/>
    <w:rsid w:val="00D8615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86156"/>
  </w:style>
  <w:style w:type="paragraph" w:styleId="BalloonText">
    <w:name w:val="Balloon Text"/>
    <w:basedOn w:val="Normal"/>
    <w:link w:val="BalloonTextChar"/>
    <w:uiPriority w:val="99"/>
    <w:semiHidden/>
    <w:unhideWhenUsed/>
    <w:rsid w:val="00E837C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7C4"/>
    <w:rPr>
      <w:rFonts w:ascii="Tahoma" w:hAnsi="Tahoma" w:cs="Tahoma"/>
      <w:sz w:val="16"/>
      <w:szCs w:val="16"/>
    </w:rPr>
  </w:style>
  <w:style w:type="character" w:styleId="PlaceholderText">
    <w:name w:val="Placeholder Text"/>
    <w:basedOn w:val="DefaultParagraphFont"/>
    <w:uiPriority w:val="99"/>
    <w:semiHidden/>
    <w:rsid w:val="006663DD"/>
    <w:rPr>
      <w:color w:val="808080"/>
    </w:rPr>
  </w:style>
  <w:style w:type="character" w:styleId="CommentReference">
    <w:name w:val="annotation reference"/>
    <w:basedOn w:val="DefaultParagraphFont"/>
    <w:uiPriority w:val="99"/>
    <w:semiHidden/>
    <w:unhideWhenUsed/>
    <w:rsid w:val="0037498B"/>
    <w:rPr>
      <w:sz w:val="16"/>
      <w:szCs w:val="16"/>
    </w:rPr>
  </w:style>
  <w:style w:type="paragraph" w:styleId="CommentText">
    <w:name w:val="annotation text"/>
    <w:basedOn w:val="Normal"/>
    <w:link w:val="CommentTextChar"/>
    <w:uiPriority w:val="99"/>
    <w:semiHidden/>
    <w:unhideWhenUsed/>
    <w:rsid w:val="0037498B"/>
    <w:pPr>
      <w:spacing w:line="240" w:lineRule="auto"/>
    </w:pPr>
    <w:rPr>
      <w:sz w:val="20"/>
      <w:szCs w:val="20"/>
    </w:rPr>
  </w:style>
  <w:style w:type="character" w:customStyle="1" w:styleId="CommentTextChar">
    <w:name w:val="Comment Text Char"/>
    <w:basedOn w:val="DefaultParagraphFont"/>
    <w:link w:val="CommentText"/>
    <w:uiPriority w:val="99"/>
    <w:semiHidden/>
    <w:rsid w:val="0037498B"/>
    <w:rPr>
      <w:sz w:val="20"/>
      <w:szCs w:val="20"/>
    </w:rPr>
  </w:style>
  <w:style w:type="paragraph" w:styleId="CommentSubject">
    <w:name w:val="annotation subject"/>
    <w:basedOn w:val="CommentText"/>
    <w:next w:val="CommentText"/>
    <w:link w:val="CommentSubjectChar"/>
    <w:uiPriority w:val="99"/>
    <w:semiHidden/>
    <w:unhideWhenUsed/>
    <w:rsid w:val="0037498B"/>
    <w:rPr>
      <w:b/>
      <w:bCs/>
    </w:rPr>
  </w:style>
  <w:style w:type="character" w:customStyle="1" w:styleId="CommentSubjectChar">
    <w:name w:val="Comment Subject Char"/>
    <w:basedOn w:val="CommentTextChar"/>
    <w:link w:val="CommentSubject"/>
    <w:uiPriority w:val="99"/>
    <w:semiHidden/>
    <w:rsid w:val="0037498B"/>
    <w:rPr>
      <w:b/>
      <w:bCs/>
      <w:sz w:val="20"/>
      <w:szCs w:val="20"/>
    </w:rPr>
  </w:style>
  <w:style w:type="paragraph" w:styleId="Revision">
    <w:name w:val="Revision"/>
    <w:hidden/>
    <w:uiPriority w:val="99"/>
    <w:semiHidden/>
    <w:rsid w:val="00C95970"/>
    <w:pPr>
      <w:spacing w:before="0" w:after="0" w:line="240" w:lineRule="auto"/>
      <w:ind w:firstLine="0"/>
      <w:jc w:val="left"/>
    </w:pPr>
  </w:style>
  <w:style w:type="paragraph" w:styleId="ListParagraph">
    <w:name w:val="List Paragraph"/>
    <w:basedOn w:val="Normal"/>
    <w:uiPriority w:val="34"/>
    <w:qFormat/>
    <w:rsid w:val="004C7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450">
      <w:bodyDiv w:val="1"/>
      <w:marLeft w:val="0"/>
      <w:marRight w:val="0"/>
      <w:marTop w:val="0"/>
      <w:marBottom w:val="0"/>
      <w:divBdr>
        <w:top w:val="none" w:sz="0" w:space="0" w:color="auto"/>
        <w:left w:val="none" w:sz="0" w:space="0" w:color="auto"/>
        <w:bottom w:val="none" w:sz="0" w:space="0" w:color="auto"/>
        <w:right w:val="none" w:sz="0" w:space="0" w:color="auto"/>
      </w:divBdr>
    </w:div>
    <w:div w:id="354697310">
      <w:bodyDiv w:val="1"/>
      <w:marLeft w:val="0"/>
      <w:marRight w:val="0"/>
      <w:marTop w:val="0"/>
      <w:marBottom w:val="0"/>
      <w:divBdr>
        <w:top w:val="none" w:sz="0" w:space="0" w:color="auto"/>
        <w:left w:val="none" w:sz="0" w:space="0" w:color="auto"/>
        <w:bottom w:val="none" w:sz="0" w:space="0" w:color="auto"/>
        <w:right w:val="none" w:sz="0" w:space="0" w:color="auto"/>
      </w:divBdr>
    </w:div>
    <w:div w:id="400904415">
      <w:bodyDiv w:val="1"/>
      <w:marLeft w:val="0"/>
      <w:marRight w:val="0"/>
      <w:marTop w:val="0"/>
      <w:marBottom w:val="0"/>
      <w:divBdr>
        <w:top w:val="none" w:sz="0" w:space="0" w:color="auto"/>
        <w:left w:val="none" w:sz="0" w:space="0" w:color="auto"/>
        <w:bottom w:val="none" w:sz="0" w:space="0" w:color="auto"/>
        <w:right w:val="none" w:sz="0" w:space="0" w:color="auto"/>
      </w:divBdr>
    </w:div>
    <w:div w:id="433014928">
      <w:bodyDiv w:val="1"/>
      <w:marLeft w:val="0"/>
      <w:marRight w:val="0"/>
      <w:marTop w:val="0"/>
      <w:marBottom w:val="0"/>
      <w:divBdr>
        <w:top w:val="none" w:sz="0" w:space="0" w:color="auto"/>
        <w:left w:val="none" w:sz="0" w:space="0" w:color="auto"/>
        <w:bottom w:val="none" w:sz="0" w:space="0" w:color="auto"/>
        <w:right w:val="none" w:sz="0" w:space="0" w:color="auto"/>
      </w:divBdr>
    </w:div>
    <w:div w:id="473956467">
      <w:bodyDiv w:val="1"/>
      <w:marLeft w:val="0"/>
      <w:marRight w:val="0"/>
      <w:marTop w:val="0"/>
      <w:marBottom w:val="0"/>
      <w:divBdr>
        <w:top w:val="none" w:sz="0" w:space="0" w:color="auto"/>
        <w:left w:val="none" w:sz="0" w:space="0" w:color="auto"/>
        <w:bottom w:val="none" w:sz="0" w:space="0" w:color="auto"/>
        <w:right w:val="none" w:sz="0" w:space="0" w:color="auto"/>
      </w:divBdr>
    </w:div>
    <w:div w:id="522667491">
      <w:bodyDiv w:val="1"/>
      <w:marLeft w:val="0"/>
      <w:marRight w:val="0"/>
      <w:marTop w:val="0"/>
      <w:marBottom w:val="0"/>
      <w:divBdr>
        <w:top w:val="none" w:sz="0" w:space="0" w:color="auto"/>
        <w:left w:val="none" w:sz="0" w:space="0" w:color="auto"/>
        <w:bottom w:val="none" w:sz="0" w:space="0" w:color="auto"/>
        <w:right w:val="none" w:sz="0" w:space="0" w:color="auto"/>
      </w:divBdr>
    </w:div>
    <w:div w:id="759643455">
      <w:bodyDiv w:val="1"/>
      <w:marLeft w:val="0"/>
      <w:marRight w:val="0"/>
      <w:marTop w:val="0"/>
      <w:marBottom w:val="0"/>
      <w:divBdr>
        <w:top w:val="none" w:sz="0" w:space="0" w:color="auto"/>
        <w:left w:val="none" w:sz="0" w:space="0" w:color="auto"/>
        <w:bottom w:val="none" w:sz="0" w:space="0" w:color="auto"/>
        <w:right w:val="none" w:sz="0" w:space="0" w:color="auto"/>
      </w:divBdr>
    </w:div>
    <w:div w:id="766846498">
      <w:bodyDiv w:val="1"/>
      <w:marLeft w:val="0"/>
      <w:marRight w:val="0"/>
      <w:marTop w:val="0"/>
      <w:marBottom w:val="0"/>
      <w:divBdr>
        <w:top w:val="none" w:sz="0" w:space="0" w:color="auto"/>
        <w:left w:val="none" w:sz="0" w:space="0" w:color="auto"/>
        <w:bottom w:val="none" w:sz="0" w:space="0" w:color="auto"/>
        <w:right w:val="none" w:sz="0" w:space="0" w:color="auto"/>
      </w:divBdr>
    </w:div>
    <w:div w:id="804198187">
      <w:bodyDiv w:val="1"/>
      <w:marLeft w:val="0"/>
      <w:marRight w:val="0"/>
      <w:marTop w:val="0"/>
      <w:marBottom w:val="0"/>
      <w:divBdr>
        <w:top w:val="none" w:sz="0" w:space="0" w:color="auto"/>
        <w:left w:val="none" w:sz="0" w:space="0" w:color="auto"/>
        <w:bottom w:val="none" w:sz="0" w:space="0" w:color="auto"/>
        <w:right w:val="none" w:sz="0" w:space="0" w:color="auto"/>
      </w:divBdr>
    </w:div>
    <w:div w:id="904216578">
      <w:bodyDiv w:val="1"/>
      <w:marLeft w:val="0"/>
      <w:marRight w:val="0"/>
      <w:marTop w:val="0"/>
      <w:marBottom w:val="0"/>
      <w:divBdr>
        <w:top w:val="none" w:sz="0" w:space="0" w:color="auto"/>
        <w:left w:val="none" w:sz="0" w:space="0" w:color="auto"/>
        <w:bottom w:val="none" w:sz="0" w:space="0" w:color="auto"/>
        <w:right w:val="none" w:sz="0" w:space="0" w:color="auto"/>
      </w:divBdr>
    </w:div>
    <w:div w:id="940185949">
      <w:bodyDiv w:val="1"/>
      <w:marLeft w:val="0"/>
      <w:marRight w:val="0"/>
      <w:marTop w:val="0"/>
      <w:marBottom w:val="0"/>
      <w:divBdr>
        <w:top w:val="none" w:sz="0" w:space="0" w:color="auto"/>
        <w:left w:val="none" w:sz="0" w:space="0" w:color="auto"/>
        <w:bottom w:val="none" w:sz="0" w:space="0" w:color="auto"/>
        <w:right w:val="none" w:sz="0" w:space="0" w:color="auto"/>
      </w:divBdr>
    </w:div>
    <w:div w:id="997029880">
      <w:bodyDiv w:val="1"/>
      <w:marLeft w:val="0"/>
      <w:marRight w:val="0"/>
      <w:marTop w:val="0"/>
      <w:marBottom w:val="0"/>
      <w:divBdr>
        <w:top w:val="none" w:sz="0" w:space="0" w:color="auto"/>
        <w:left w:val="none" w:sz="0" w:space="0" w:color="auto"/>
        <w:bottom w:val="none" w:sz="0" w:space="0" w:color="auto"/>
        <w:right w:val="none" w:sz="0" w:space="0" w:color="auto"/>
      </w:divBdr>
    </w:div>
    <w:div w:id="1445684360">
      <w:bodyDiv w:val="1"/>
      <w:marLeft w:val="0"/>
      <w:marRight w:val="0"/>
      <w:marTop w:val="0"/>
      <w:marBottom w:val="0"/>
      <w:divBdr>
        <w:top w:val="none" w:sz="0" w:space="0" w:color="auto"/>
        <w:left w:val="none" w:sz="0" w:space="0" w:color="auto"/>
        <w:bottom w:val="none" w:sz="0" w:space="0" w:color="auto"/>
        <w:right w:val="none" w:sz="0" w:space="0" w:color="auto"/>
      </w:divBdr>
    </w:div>
    <w:div w:id="1462185069">
      <w:bodyDiv w:val="1"/>
      <w:marLeft w:val="0"/>
      <w:marRight w:val="0"/>
      <w:marTop w:val="0"/>
      <w:marBottom w:val="0"/>
      <w:divBdr>
        <w:top w:val="none" w:sz="0" w:space="0" w:color="auto"/>
        <w:left w:val="none" w:sz="0" w:space="0" w:color="auto"/>
        <w:bottom w:val="none" w:sz="0" w:space="0" w:color="auto"/>
        <w:right w:val="none" w:sz="0" w:space="0" w:color="auto"/>
      </w:divBdr>
    </w:div>
    <w:div w:id="1649819172">
      <w:bodyDiv w:val="1"/>
      <w:marLeft w:val="0"/>
      <w:marRight w:val="0"/>
      <w:marTop w:val="0"/>
      <w:marBottom w:val="0"/>
      <w:divBdr>
        <w:top w:val="none" w:sz="0" w:space="0" w:color="auto"/>
        <w:left w:val="none" w:sz="0" w:space="0" w:color="auto"/>
        <w:bottom w:val="none" w:sz="0" w:space="0" w:color="auto"/>
        <w:right w:val="none" w:sz="0" w:space="0" w:color="auto"/>
      </w:divBdr>
    </w:div>
    <w:div w:id="1700885608">
      <w:bodyDiv w:val="1"/>
      <w:marLeft w:val="0"/>
      <w:marRight w:val="0"/>
      <w:marTop w:val="0"/>
      <w:marBottom w:val="0"/>
      <w:divBdr>
        <w:top w:val="none" w:sz="0" w:space="0" w:color="auto"/>
        <w:left w:val="none" w:sz="0" w:space="0" w:color="auto"/>
        <w:bottom w:val="none" w:sz="0" w:space="0" w:color="auto"/>
        <w:right w:val="none" w:sz="0" w:space="0" w:color="auto"/>
      </w:divBdr>
    </w:div>
    <w:div w:id="1734350361">
      <w:bodyDiv w:val="1"/>
      <w:marLeft w:val="0"/>
      <w:marRight w:val="0"/>
      <w:marTop w:val="0"/>
      <w:marBottom w:val="0"/>
      <w:divBdr>
        <w:top w:val="none" w:sz="0" w:space="0" w:color="auto"/>
        <w:left w:val="none" w:sz="0" w:space="0" w:color="auto"/>
        <w:bottom w:val="none" w:sz="0" w:space="0" w:color="auto"/>
        <w:right w:val="none" w:sz="0" w:space="0" w:color="auto"/>
      </w:divBdr>
    </w:div>
    <w:div w:id="1737513814">
      <w:bodyDiv w:val="1"/>
      <w:marLeft w:val="0"/>
      <w:marRight w:val="0"/>
      <w:marTop w:val="0"/>
      <w:marBottom w:val="0"/>
      <w:divBdr>
        <w:top w:val="none" w:sz="0" w:space="0" w:color="auto"/>
        <w:left w:val="none" w:sz="0" w:space="0" w:color="auto"/>
        <w:bottom w:val="none" w:sz="0" w:space="0" w:color="auto"/>
        <w:right w:val="none" w:sz="0" w:space="0" w:color="auto"/>
      </w:divBdr>
    </w:div>
    <w:div w:id="1958294429">
      <w:bodyDiv w:val="1"/>
      <w:marLeft w:val="0"/>
      <w:marRight w:val="0"/>
      <w:marTop w:val="0"/>
      <w:marBottom w:val="0"/>
      <w:divBdr>
        <w:top w:val="none" w:sz="0" w:space="0" w:color="auto"/>
        <w:left w:val="none" w:sz="0" w:space="0" w:color="auto"/>
        <w:bottom w:val="none" w:sz="0" w:space="0" w:color="auto"/>
        <w:right w:val="none" w:sz="0" w:space="0" w:color="auto"/>
      </w:divBdr>
    </w:div>
    <w:div w:id="21087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A6CE-EF81-4E96-A94A-697FB03E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5814</Words>
  <Characters>33145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dc:creator>
  <cp:lastModifiedBy>User</cp:lastModifiedBy>
  <cp:revision>2</cp:revision>
  <cp:lastPrinted>2019-10-10T10:52:00Z</cp:lastPrinted>
  <dcterms:created xsi:type="dcterms:W3CDTF">2019-10-21T06:51:00Z</dcterms:created>
  <dcterms:modified xsi:type="dcterms:W3CDTF">2019-10-21T06:51:00Z</dcterms:modified>
</cp:coreProperties>
</file>